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长城小标宋体" w:hAnsi="长城小标宋体" w:eastAsia="长城小标宋体" w:cs="长城小标宋体"/>
          <w:kern w:val="0"/>
          <w:sz w:val="40"/>
          <w:szCs w:val="40"/>
        </w:rPr>
      </w:pPr>
      <w:r>
        <w:rPr>
          <w:rFonts w:hint="eastAsia" w:ascii="长城小标宋体" w:hAnsi="长城小标宋体" w:eastAsia="长城小标宋体" w:cs="长城小标宋体"/>
          <w:kern w:val="0"/>
          <w:sz w:val="40"/>
          <w:szCs w:val="40"/>
          <w:lang w:val="en-US" w:eastAsia="zh-CN"/>
        </w:rPr>
        <w:t>2020</w:t>
      </w:r>
      <w:r>
        <w:rPr>
          <w:rFonts w:hint="eastAsia" w:ascii="长城小标宋体" w:hAnsi="长城小标宋体" w:eastAsia="长城小标宋体" w:cs="长城小标宋体"/>
          <w:kern w:val="0"/>
          <w:sz w:val="40"/>
          <w:szCs w:val="40"/>
        </w:rPr>
        <w:t>年</w:t>
      </w:r>
      <w:r>
        <w:rPr>
          <w:rFonts w:hint="eastAsia" w:ascii="长城小标宋体" w:hAnsi="长城小标宋体" w:eastAsia="长城小标宋体" w:cs="长城小标宋体"/>
          <w:kern w:val="0"/>
          <w:sz w:val="40"/>
          <w:szCs w:val="40"/>
          <w:lang w:eastAsia="zh-CN"/>
        </w:rPr>
        <w:t>度</w:t>
      </w:r>
      <w:r>
        <w:rPr>
          <w:rFonts w:hint="eastAsia" w:ascii="长城小标宋体" w:hAnsi="长城小标宋体" w:eastAsia="长城小标宋体" w:cs="长城小标宋体"/>
          <w:kern w:val="0"/>
          <w:sz w:val="40"/>
          <w:szCs w:val="40"/>
        </w:rPr>
        <w:t>青年教师</w:t>
      </w:r>
      <w:r>
        <w:rPr>
          <w:rFonts w:hint="eastAsia" w:ascii="长城小标宋体" w:hAnsi="长城小标宋体" w:eastAsia="长城小标宋体" w:cs="长城小标宋体"/>
          <w:kern w:val="0"/>
          <w:sz w:val="40"/>
          <w:szCs w:val="40"/>
          <w:lang w:eastAsia="zh-CN"/>
        </w:rPr>
        <w:t>双</w:t>
      </w:r>
      <w:r>
        <w:rPr>
          <w:rFonts w:hint="eastAsia" w:ascii="长城小标宋体" w:hAnsi="长城小标宋体" w:eastAsia="长城小标宋体" w:cs="长城小标宋体"/>
          <w:kern w:val="0"/>
          <w:sz w:val="40"/>
          <w:szCs w:val="40"/>
        </w:rPr>
        <w:t>导师制培养名单</w:t>
      </w:r>
    </w:p>
    <w:p>
      <w:pPr>
        <w:widowControl/>
        <w:jc w:val="center"/>
        <w:rPr>
          <w:rFonts w:hint="eastAsia" w:ascii="黑体" w:hAnsi="黑体" w:eastAsia="黑体" w:cs="宋体"/>
          <w:kern w:val="0"/>
          <w:sz w:val="18"/>
          <w:szCs w:val="18"/>
        </w:rPr>
      </w:pPr>
    </w:p>
    <w:p>
      <w:pPr>
        <w:widowControl/>
        <w:rPr>
          <w:rFonts w:hint="eastAsia" w:ascii="仿宋" w:hAnsi="仿宋" w:eastAsia="仿宋" w:cs="宋体"/>
          <w:kern w:val="0"/>
          <w:sz w:val="18"/>
          <w:szCs w:val="18"/>
          <w:u w:val="single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 xml:space="preserve">  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院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（部）公章               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>日期：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  <w:lang w:val="en-US" w:eastAsia="zh-CN"/>
        </w:rPr>
        <w:t>2020</w:t>
      </w:r>
      <w:r>
        <w:rPr>
          <w:rFonts w:hint="eastAsia" w:ascii="仿宋" w:hAnsi="仿宋" w:eastAsia="仿宋" w:cs="宋体"/>
          <w:kern w:val="0"/>
          <w:sz w:val="24"/>
          <w:szCs w:val="24"/>
          <w:u w:val="single"/>
        </w:rPr>
        <w:t>年   月   日</w:t>
      </w:r>
    </w:p>
    <w:p>
      <w:pPr>
        <w:widowControl/>
        <w:rPr>
          <w:rFonts w:ascii="仿宋" w:hAnsi="仿宋" w:eastAsia="仿宋" w:cs="宋体"/>
          <w:kern w:val="0"/>
          <w:sz w:val="18"/>
          <w:szCs w:val="1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6"/>
        <w:gridCol w:w="1069"/>
        <w:gridCol w:w="1298"/>
        <w:gridCol w:w="841"/>
        <w:gridCol w:w="1070"/>
        <w:gridCol w:w="1070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教学单位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青年教师信息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选派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所在教研室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所属学科</w:t>
            </w:r>
          </w:p>
        </w:tc>
        <w:tc>
          <w:tcPr>
            <w:tcW w:w="1070" w:type="dxa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岗位类型</w:t>
            </w:r>
          </w:p>
        </w:tc>
        <w:tc>
          <w:tcPr>
            <w:tcW w:w="1038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5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7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8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9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>
            <w:bookmarkStart w:id="0" w:name="_GoBack"/>
            <w:bookmarkEnd w:id="0"/>
          </w:p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11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/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12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/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13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/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14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/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15</w:t>
            </w:r>
          </w:p>
        </w:tc>
        <w:tc>
          <w:tcPr>
            <w:tcW w:w="1396" w:type="dxa"/>
            <w:vMerge w:val="restart"/>
            <w:vAlign w:val="top"/>
          </w:tcPr>
          <w:p/>
        </w:tc>
        <w:tc>
          <w:tcPr>
            <w:tcW w:w="1069" w:type="dxa"/>
            <w:vMerge w:val="restart"/>
            <w:vAlign w:val="top"/>
          </w:tcPr>
          <w:p/>
        </w:tc>
        <w:tc>
          <w:tcPr>
            <w:tcW w:w="1298" w:type="dxa"/>
            <w:vMerge w:val="restart"/>
            <w:vAlign w:val="top"/>
          </w:tcPr>
          <w:p/>
        </w:tc>
        <w:tc>
          <w:tcPr>
            <w:tcW w:w="841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70" w:type="dxa"/>
            <w:vMerge w:val="restart"/>
            <w:vAlign w:val="top"/>
          </w:tcPr>
          <w:p/>
        </w:tc>
        <w:tc>
          <w:tcPr>
            <w:tcW w:w="1038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0" w:type="dxa"/>
            <w:vMerge w:val="continue"/>
            <w:vAlign w:val="center"/>
          </w:tcPr>
          <w:p/>
        </w:tc>
        <w:tc>
          <w:tcPr>
            <w:tcW w:w="1396" w:type="dxa"/>
            <w:vMerge w:val="continue"/>
            <w:vAlign w:val="top"/>
          </w:tcPr>
          <w:p/>
        </w:tc>
        <w:tc>
          <w:tcPr>
            <w:tcW w:w="1069" w:type="dxa"/>
            <w:vMerge w:val="continue"/>
            <w:vAlign w:val="top"/>
          </w:tcPr>
          <w:p/>
        </w:tc>
        <w:tc>
          <w:tcPr>
            <w:tcW w:w="1298" w:type="dxa"/>
            <w:vMerge w:val="continue"/>
            <w:vAlign w:val="top"/>
          </w:tcPr>
          <w:p/>
        </w:tc>
        <w:tc>
          <w:tcPr>
            <w:tcW w:w="841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70" w:type="dxa"/>
            <w:vMerge w:val="continue"/>
            <w:vAlign w:val="top"/>
          </w:tcPr>
          <w:p/>
        </w:tc>
        <w:tc>
          <w:tcPr>
            <w:tcW w:w="1038" w:type="dxa"/>
            <w:vAlign w:val="top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A1"/>
    <w:rsid w:val="00475010"/>
    <w:rsid w:val="005C0DA1"/>
    <w:rsid w:val="00721F1B"/>
    <w:rsid w:val="18E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4</TotalTime>
  <ScaleCrop>false</ScaleCrop>
  <LinksUpToDate>false</LinksUpToDate>
  <CharactersWithSpaces>442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2019-03-27T06:45:00Z</dcterms:created>
  <dc:creator>admin</dc:creator>
  <cp:lastModifiedBy>赵树</cp:lastModifiedBy>
  <dcterms:modified xsi:type="dcterms:W3CDTF">2020-05-15T03:21:50Z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