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28"/>
          <w:szCs w:val="28"/>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pPr>
        <w:rPr>
          <w:color w:val="auto"/>
        </w:rPr>
      </w:pPr>
    </w:p>
    <w:p>
      <w:pPr>
        <w:rPr>
          <w:color w:val="auto"/>
        </w:rPr>
      </w:pPr>
    </w:p>
    <w:p>
      <w:pPr>
        <w:rPr>
          <w:color w:val="auto"/>
        </w:rPr>
      </w:pPr>
    </w:p>
    <w:p>
      <w:pPr>
        <w:rPr>
          <w:color w:val="auto"/>
        </w:rPr>
      </w:pPr>
    </w:p>
    <w:p>
      <w:pPr>
        <w:rPr>
          <w:color w:val="auto"/>
        </w:rPr>
      </w:pPr>
    </w:p>
    <w:p>
      <w:pPr>
        <w:pStyle w:val="2"/>
        <w:jc w:val="center"/>
        <w:rPr>
          <w:rFonts w:hint="eastAsia" w:ascii="长城小标宋体" w:hAnsi="长城小标宋体" w:eastAsia="长城小标宋体" w:cs="长城小标宋体"/>
          <w:color w:val="auto"/>
        </w:rPr>
      </w:pPr>
      <w:r>
        <w:rPr>
          <w:rFonts w:hint="eastAsia" w:ascii="长城小标宋体" w:hAnsi="长城小标宋体" w:eastAsia="长城小标宋体" w:cs="长城小标宋体"/>
          <w:color w:val="auto"/>
          <w:lang w:eastAsia="zh-CN"/>
        </w:rPr>
        <w:t>营口理工</w:t>
      </w:r>
      <w:r>
        <w:rPr>
          <w:rFonts w:hint="eastAsia" w:ascii="长城小标宋体" w:hAnsi="长城小标宋体" w:eastAsia="长城小标宋体" w:cs="长城小标宋体"/>
          <w:color w:val="auto"/>
        </w:rPr>
        <w:t>学院</w:t>
      </w:r>
      <w:r>
        <w:rPr>
          <w:rFonts w:hint="eastAsia" w:ascii="长城小标宋体" w:hAnsi="长城小标宋体" w:eastAsia="长城小标宋体" w:cs="长城小标宋体"/>
          <w:color w:val="auto"/>
          <w:lang w:eastAsia="zh-CN"/>
        </w:rPr>
        <w:t>专业</w:t>
      </w:r>
      <w:r>
        <w:rPr>
          <w:rFonts w:hint="eastAsia" w:ascii="长城小标宋体" w:hAnsi="长城小标宋体" w:eastAsia="长城小标宋体" w:cs="长城小标宋体"/>
          <w:color w:val="auto"/>
        </w:rPr>
        <w:t>自评报告</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left="1470" w:leftChars="700"/>
        <w:rPr>
          <w:b/>
          <w:bCs/>
          <w:color w:val="auto"/>
          <w:sz w:val="32"/>
          <w:szCs w:val="32"/>
          <w:u w:val="single"/>
        </w:rPr>
      </w:pPr>
      <w:r>
        <w:rPr>
          <w:rFonts w:hint="eastAsia"/>
          <w:b/>
          <w:bCs/>
          <w:color w:val="auto"/>
          <w:sz w:val="32"/>
          <w:szCs w:val="32"/>
          <w:lang w:eastAsia="zh-CN"/>
        </w:rPr>
        <w:t>专业</w:t>
      </w:r>
      <w:r>
        <w:rPr>
          <w:rFonts w:hint="eastAsia"/>
          <w:b/>
          <w:bCs/>
          <w:color w:val="auto"/>
          <w:sz w:val="32"/>
          <w:szCs w:val="32"/>
        </w:rPr>
        <w:t>名称：</w:t>
      </w:r>
    </w:p>
    <w:p>
      <w:pPr>
        <w:ind w:left="630" w:leftChars="300"/>
        <w:jc w:val="left"/>
        <w:rPr>
          <w:b/>
          <w:bCs/>
          <w:color w:val="auto"/>
          <w:sz w:val="32"/>
          <w:szCs w:val="32"/>
          <w:u w:val="single"/>
        </w:rPr>
      </w:pPr>
    </w:p>
    <w:p>
      <w:pPr>
        <w:ind w:left="1470" w:leftChars="700"/>
        <w:jc w:val="left"/>
        <w:rPr>
          <w:b/>
          <w:bCs/>
          <w:color w:val="auto"/>
          <w:sz w:val="32"/>
          <w:szCs w:val="32"/>
          <w:u w:val="single"/>
        </w:rPr>
      </w:pPr>
      <w:r>
        <w:rPr>
          <w:rFonts w:hint="eastAsia"/>
          <w:b/>
          <w:bCs/>
          <w:color w:val="auto"/>
          <w:sz w:val="32"/>
          <w:szCs w:val="32"/>
          <w:lang w:eastAsia="zh-CN"/>
        </w:rPr>
        <w:t>专业</w:t>
      </w:r>
      <w:r>
        <w:rPr>
          <w:rFonts w:hint="eastAsia"/>
          <w:b/>
          <w:bCs/>
          <w:color w:val="auto"/>
          <w:sz w:val="32"/>
          <w:szCs w:val="32"/>
        </w:rPr>
        <w:t>负责人：</w:t>
      </w:r>
    </w:p>
    <w:p>
      <w:pPr>
        <w:ind w:left="630" w:leftChars="300"/>
        <w:jc w:val="left"/>
        <w:rPr>
          <w:b/>
          <w:bCs/>
          <w:color w:val="auto"/>
          <w:sz w:val="32"/>
          <w:szCs w:val="32"/>
          <w:u w:val="single"/>
        </w:rPr>
      </w:pPr>
    </w:p>
    <w:p>
      <w:pPr>
        <w:widowControl/>
        <w:ind w:left="1470" w:leftChars="700"/>
        <w:rPr>
          <w:b/>
          <w:bCs/>
          <w:color w:val="auto"/>
          <w:sz w:val="32"/>
          <w:szCs w:val="32"/>
          <w:u w:val="single"/>
        </w:rPr>
      </w:pPr>
      <w:r>
        <w:rPr>
          <w:rFonts w:hint="eastAsia" w:ascii="宋体" w:hAnsi="宋体"/>
          <w:b/>
          <w:bCs/>
          <w:color w:val="auto"/>
          <w:kern w:val="0"/>
          <w:sz w:val="32"/>
          <w:szCs w:val="32"/>
        </w:rPr>
        <w:t>学院</w:t>
      </w:r>
      <w:r>
        <w:rPr>
          <w:rFonts w:hint="eastAsia" w:ascii="宋体" w:hAnsi="宋体"/>
          <w:b/>
          <w:bCs/>
          <w:color w:val="auto"/>
          <w:kern w:val="0"/>
          <w:sz w:val="32"/>
          <w:szCs w:val="32"/>
          <w:lang w:eastAsia="zh-CN"/>
        </w:rPr>
        <w:t>（盖章）</w:t>
      </w:r>
      <w:r>
        <w:rPr>
          <w:rFonts w:hint="eastAsia" w:ascii="宋体" w:hAnsi="宋体"/>
          <w:b/>
          <w:bCs/>
          <w:color w:val="auto"/>
          <w:kern w:val="0"/>
          <w:sz w:val="32"/>
          <w:szCs w:val="32"/>
        </w:rPr>
        <w:t>：</w:t>
      </w:r>
    </w:p>
    <w:p>
      <w:pPr>
        <w:widowControl/>
        <w:jc w:val="center"/>
        <w:rPr>
          <w:color w:val="auto"/>
          <w:sz w:val="32"/>
          <w:szCs w:val="32"/>
        </w:rPr>
      </w:pPr>
    </w:p>
    <w:p>
      <w:pPr>
        <w:widowControl/>
        <w:jc w:val="center"/>
        <w:rPr>
          <w:color w:val="auto"/>
          <w:sz w:val="32"/>
          <w:szCs w:val="32"/>
        </w:rPr>
      </w:pPr>
    </w:p>
    <w:p>
      <w:pPr>
        <w:widowControl/>
        <w:jc w:val="center"/>
        <w:rPr>
          <w:color w:val="auto"/>
          <w:sz w:val="32"/>
          <w:szCs w:val="32"/>
        </w:rPr>
      </w:pPr>
    </w:p>
    <w:p>
      <w:pPr>
        <w:widowControl/>
        <w:jc w:val="both"/>
        <w:rPr>
          <w:color w:val="auto"/>
          <w:sz w:val="32"/>
          <w:szCs w:val="32"/>
        </w:rPr>
      </w:pPr>
    </w:p>
    <w:p>
      <w:pPr>
        <w:widowControl/>
        <w:jc w:val="both"/>
        <w:rPr>
          <w:color w:val="auto"/>
          <w:sz w:val="32"/>
          <w:szCs w:val="32"/>
        </w:rPr>
      </w:pPr>
    </w:p>
    <w:p>
      <w:pPr>
        <w:widowControl/>
        <w:jc w:val="center"/>
        <w:rPr>
          <w:rFonts w:hint="eastAsia"/>
          <w:color w:val="auto"/>
          <w:sz w:val="32"/>
          <w:szCs w:val="32"/>
          <w:lang w:eastAsia="zh-CN"/>
        </w:rPr>
      </w:pPr>
      <w:r>
        <w:rPr>
          <w:rFonts w:hint="eastAsia"/>
          <w:color w:val="auto"/>
          <w:sz w:val="32"/>
          <w:szCs w:val="32"/>
          <w:lang w:eastAsia="zh-CN"/>
        </w:rPr>
        <w:t>评估建设办公室制</w:t>
      </w:r>
    </w:p>
    <w:p>
      <w:pPr>
        <w:keepNext w:val="0"/>
        <w:keepLines w:val="0"/>
        <w:widowControl/>
        <w:suppressLineNumbers w:val="0"/>
        <w:spacing w:before="0" w:beforeAutospacing="0" w:after="0" w:afterAutospacing="0"/>
        <w:ind w:left="0" w:right="0"/>
        <w:jc w:val="center"/>
        <w:rPr>
          <w:rFonts w:hint="eastAsia"/>
          <w:color w:val="auto"/>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1788" w:tblpY="1058"/>
        <w:tblOverlap w:val="never"/>
        <w:tblW w:w="8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2047"/>
        <w:gridCol w:w="1982"/>
        <w:gridCol w:w="2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30" w:hRule="atLeast"/>
        </w:trPr>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olor w:val="auto"/>
              </w:rPr>
            </w:pPr>
            <w:r>
              <w:rPr>
                <w:rFonts w:hint="eastAsia"/>
                <w:color w:val="auto"/>
                <w:sz w:val="32"/>
                <w:szCs w:val="32"/>
              </w:rPr>
              <w:t>年    月</w:t>
            </w:r>
            <w:r>
              <w:rPr>
                <w:rFonts w:hint="eastAsia" w:ascii="宋体" w:hAnsi="宋体"/>
                <w:color w:val="auto"/>
                <w:lang w:eastAsia="zh-CN"/>
              </w:rPr>
              <w:t>专业</w:t>
            </w:r>
            <w:r>
              <w:rPr>
                <w:rFonts w:hint="eastAsia" w:ascii="宋体" w:hAnsi="宋体"/>
                <w:color w:val="auto"/>
              </w:rPr>
              <w:t>名称</w:t>
            </w:r>
          </w:p>
        </w:tc>
        <w:tc>
          <w:tcPr>
            <w:tcW w:w="204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ind w:left="0" w:right="0"/>
              <w:jc w:val="center"/>
              <w:rPr>
                <w:rFonts w:hAnsi="宋体"/>
                <w:color w:val="auto"/>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int="eastAsia" w:hAnsi="宋体" w:eastAsia="宋体"/>
                <w:color w:val="auto"/>
                <w:lang w:eastAsia="zh-CN"/>
              </w:rPr>
            </w:pPr>
            <w:r>
              <w:rPr>
                <w:rFonts w:hint="eastAsia" w:hAnsi="宋体"/>
                <w:color w:val="auto"/>
                <w:lang w:eastAsia="zh-CN"/>
              </w:rPr>
              <w:t>专业代码</w:t>
            </w:r>
          </w:p>
        </w:tc>
        <w:tc>
          <w:tcPr>
            <w:tcW w:w="237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lang w:eastAsia="zh-CN"/>
              </w:rPr>
            </w:pPr>
            <w:r>
              <w:rPr>
                <w:rFonts w:hint="eastAsia" w:ascii="宋体" w:hAnsi="宋体"/>
                <w:color w:val="auto"/>
                <w:lang w:eastAsia="zh-CN"/>
              </w:rPr>
              <w:t>修业年限</w:t>
            </w:r>
          </w:p>
        </w:tc>
        <w:tc>
          <w:tcPr>
            <w:tcW w:w="204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ind w:left="0" w:right="0"/>
              <w:jc w:val="center"/>
              <w:rPr>
                <w:rFonts w:hAnsi="宋体"/>
                <w:color w:val="auto"/>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int="eastAsia" w:hAnsi="宋体" w:eastAsia="宋体"/>
                <w:color w:val="auto"/>
                <w:lang w:eastAsia="zh-CN"/>
              </w:rPr>
            </w:pPr>
            <w:r>
              <w:rPr>
                <w:rFonts w:hint="eastAsia" w:hAnsi="宋体"/>
                <w:color w:val="auto"/>
                <w:lang w:eastAsia="zh-CN"/>
              </w:rPr>
              <w:t>学位授予门类</w:t>
            </w:r>
          </w:p>
        </w:tc>
        <w:tc>
          <w:tcPr>
            <w:tcW w:w="237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lang w:eastAsia="zh-CN"/>
              </w:rPr>
            </w:pPr>
            <w:r>
              <w:rPr>
                <w:rFonts w:hint="eastAsia" w:ascii="宋体" w:hAnsi="宋体"/>
                <w:color w:val="auto"/>
                <w:lang w:eastAsia="zh-CN"/>
              </w:rPr>
              <w:t>专业设立时间</w:t>
            </w:r>
          </w:p>
        </w:tc>
        <w:tc>
          <w:tcPr>
            <w:tcW w:w="204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ind w:left="0" w:right="0"/>
              <w:rPr>
                <w:rFonts w:hAnsi="宋体"/>
                <w:color w:val="auto"/>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int="eastAsia" w:hAnsi="宋体" w:eastAsia="宋体"/>
                <w:color w:val="auto"/>
                <w:lang w:eastAsia="zh-CN"/>
              </w:rPr>
            </w:pPr>
            <w:r>
              <w:rPr>
                <w:rFonts w:hint="eastAsia" w:hAnsi="宋体"/>
                <w:color w:val="auto"/>
                <w:lang w:eastAsia="zh-CN"/>
              </w:rPr>
              <w:t>所在学院</w:t>
            </w:r>
          </w:p>
        </w:tc>
        <w:tc>
          <w:tcPr>
            <w:tcW w:w="237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olor w:val="auto"/>
                <w:lang w:val="en-US" w:eastAsia="zh-CN"/>
              </w:rPr>
            </w:pPr>
            <w:r>
              <w:rPr>
                <w:rFonts w:hint="eastAsia" w:ascii="宋体" w:hAnsi="宋体"/>
                <w:color w:val="auto"/>
                <w:lang w:val="en-US" w:eastAsia="zh-CN"/>
              </w:rPr>
              <w:t>专业简况</w:t>
            </w:r>
          </w:p>
          <w:p>
            <w:pPr>
              <w:keepNext w:val="0"/>
              <w:keepLines w:val="0"/>
              <w:widowControl/>
              <w:suppressLineNumbers w:val="0"/>
              <w:spacing w:before="0" w:beforeAutospacing="0" w:after="0" w:afterAutospacing="0"/>
              <w:ind w:left="0" w:right="0"/>
              <w:jc w:val="center"/>
              <w:rPr>
                <w:rFonts w:hint="eastAsia" w:ascii="宋体" w:hAnsi="宋体"/>
                <w:color w:val="auto"/>
                <w:lang w:val="en-US" w:eastAsia="zh-CN"/>
              </w:rPr>
            </w:pPr>
            <w:r>
              <w:rPr>
                <w:rFonts w:hint="eastAsia" w:ascii="宋体" w:hAnsi="宋体"/>
                <w:color w:val="auto"/>
                <w:lang w:val="en-US" w:eastAsia="zh-CN"/>
              </w:rPr>
              <w:t>（1000字以内）</w:t>
            </w:r>
          </w:p>
        </w:tc>
        <w:tc>
          <w:tcPr>
            <w:tcW w:w="6407" w:type="dxa"/>
            <w:gridSpan w:val="3"/>
            <w:tcBorders>
              <w:top w:val="single" w:color="auto" w:sz="4"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p>
            <w:pPr>
              <w:pStyle w:val="3"/>
              <w:keepNext w:val="0"/>
              <w:keepLines w:val="0"/>
              <w:suppressLineNumbers w:val="0"/>
              <w:spacing w:before="0" w:beforeAutospacing="0" w:after="0" w:afterAutospacing="0" w:line="20" w:lineRule="atLeast"/>
              <w:ind w:left="0" w:right="0"/>
              <w:jc w:val="center"/>
              <w:rPr>
                <w:rFonts w:hAnsi="宋体"/>
                <w:color w:val="auto"/>
              </w:rPr>
            </w:pPr>
          </w:p>
        </w:tc>
      </w:tr>
    </w:tbl>
    <w:p>
      <w:pPr>
        <w:widowControl/>
        <w:jc w:val="left"/>
        <w:rPr>
          <w:rFonts w:hint="eastAsia" w:ascii="仿宋" w:hAnsi="仿宋" w:eastAsia="仿宋"/>
          <w:b/>
          <w:bCs/>
          <w:color w:val="auto"/>
          <w:lang w:val="en-US" w:eastAsia="zh-CN"/>
        </w:rPr>
      </w:pPr>
      <w:r>
        <w:rPr>
          <w:rFonts w:hint="eastAsia"/>
          <w:b/>
          <w:bCs/>
          <w:color w:val="auto"/>
          <w:sz w:val="28"/>
          <w:szCs w:val="28"/>
        </w:rPr>
        <w:t>一、</w:t>
      </w:r>
      <w:r>
        <w:rPr>
          <w:rFonts w:hint="eastAsia"/>
          <w:b/>
          <w:bCs/>
          <w:color w:val="auto"/>
          <w:sz w:val="28"/>
          <w:szCs w:val="28"/>
          <w:lang w:eastAsia="zh-CN"/>
        </w:rPr>
        <w:t>专业</w:t>
      </w:r>
      <w:r>
        <w:rPr>
          <w:rFonts w:hint="eastAsia"/>
          <w:b/>
          <w:bCs/>
          <w:color w:val="auto"/>
          <w:sz w:val="28"/>
          <w:szCs w:val="28"/>
        </w:rPr>
        <w:t>基本信息</w:t>
      </w:r>
    </w:p>
    <w:p>
      <w:pPr>
        <w:widowControl/>
        <w:jc w:val="left"/>
        <w:rPr>
          <w:rFonts w:hint="eastAsia"/>
          <w:b/>
          <w:bCs/>
          <w:color w:val="auto"/>
          <w:sz w:val="28"/>
          <w:szCs w:val="28"/>
          <w:lang w:val="en-US" w:eastAsia="zh-CN"/>
        </w:rPr>
      </w:pPr>
      <w:r>
        <w:rPr>
          <w:rFonts w:hint="eastAsia"/>
          <w:b/>
          <w:bCs/>
          <w:color w:val="auto"/>
          <w:sz w:val="28"/>
          <w:szCs w:val="28"/>
          <w:lang w:val="en-US" w:eastAsia="zh-CN"/>
        </w:rPr>
        <w:t>二、专业自评情况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培养方案与模式改革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1.1培养方案</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635"/>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758" w:type="dxa"/>
            <w:gridSpan w:val="2"/>
            <w:vAlign w:val="center"/>
          </w:tcPr>
          <w:p>
            <w:pPr>
              <w:keepNext w:val="0"/>
              <w:keepLines w:val="0"/>
              <w:suppressLineNumbers w:val="0"/>
              <w:spacing w:before="0" w:beforeAutospacing="0" w:after="0" w:afterAutospacing="0"/>
              <w:ind w:left="0" w:right="0"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7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1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1.1.1</w:t>
            </w:r>
            <w:r>
              <w:rPr>
                <w:rFonts w:hint="eastAsia" w:ascii="仿宋" w:hAnsi="仿宋" w:eastAsia="仿宋" w:cs="仿宋"/>
                <w:color w:val="auto"/>
                <w:sz w:val="21"/>
                <w:szCs w:val="21"/>
                <w:lang w:eastAsia="zh-CN"/>
              </w:rPr>
              <w:t>培养目标</w:t>
            </w:r>
          </w:p>
        </w:tc>
        <w:tc>
          <w:tcPr>
            <w:tcW w:w="263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培养目标和培养要求与专业人才培养定位、课程设置的符合程度</w:t>
            </w:r>
          </w:p>
        </w:tc>
        <w:tc>
          <w:tcPr>
            <w:tcW w:w="4702"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1"/>
                <w:szCs w:val="21"/>
              </w:rPr>
            </w:pPr>
            <w:r>
              <w:rPr>
                <w:rFonts w:hint="eastAsia" w:ascii="仿宋_GB2312" w:hAnsi="仿宋_GB2312" w:eastAsia="仿宋_GB2312" w:cs="仿宋_GB2312"/>
                <w:color w:val="auto"/>
                <w:sz w:val="24"/>
              </w:rPr>
              <w:t>培养方案</w:t>
            </w:r>
            <w:r>
              <w:rPr>
                <w:rFonts w:hint="eastAsia" w:ascii="仿宋_GB2312" w:hAnsi="仿宋_GB2312" w:eastAsia="仿宋_GB2312" w:cs="仿宋_GB2312"/>
                <w:color w:val="auto"/>
                <w:sz w:val="24"/>
                <w:lang w:eastAsia="zh-CN"/>
              </w:rPr>
              <w:t>体现</w:t>
            </w:r>
            <w:r>
              <w:rPr>
                <w:rFonts w:hint="eastAsia" w:ascii="仿宋_GB2312" w:hAnsi="仿宋_GB2312" w:eastAsia="仿宋_GB2312" w:cs="仿宋_GB2312"/>
                <w:color w:val="auto"/>
                <w:sz w:val="24"/>
                <w:lang w:val="en-US" w:eastAsia="zh-CN"/>
              </w:rPr>
              <w:t>OBE理念</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val="en-US" w:eastAsia="zh-CN"/>
              </w:rPr>
              <w:t>实践教学环节比例设置满足应用型人才培养需要。</w:t>
            </w:r>
            <w:r>
              <w:rPr>
                <w:rFonts w:hint="eastAsia" w:ascii="仿宋_GB2312" w:hAnsi="仿宋_GB2312" w:eastAsia="仿宋_GB2312" w:cs="仿宋_GB2312"/>
                <w:color w:val="auto"/>
                <w:sz w:val="24"/>
              </w:rPr>
              <w:t>培养方案各要素匹配程度：培养目标、培养要求、课程设置等要素之间的匹配程度。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1.1.1培养目标</w:t>
            </w:r>
          </w:p>
        </w:tc>
        <w:tc>
          <w:tcPr>
            <w:tcW w:w="2635"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2.毕业生的知识、能力和素质对培养目标的支撑程度</w:t>
            </w:r>
          </w:p>
        </w:tc>
        <w:tc>
          <w:tcPr>
            <w:tcW w:w="4702"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培养方案各要素匹配程度：培养目标、培养要求、课程设置等要素之间的匹配程度。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r>
              <w:rPr>
                <w:rFonts w:hint="eastAsia"/>
                <w:color w:val="auto"/>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 课程体系</w:t>
            </w:r>
          </w:p>
        </w:tc>
        <w:tc>
          <w:tcPr>
            <w:tcW w:w="2635"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1.课程设置与培养目标的吻合程度</w:t>
            </w:r>
          </w:p>
        </w:tc>
        <w:tc>
          <w:tcPr>
            <w:tcW w:w="47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课程设置对培养目标达成的支持程度；课程结构的合理性</w:t>
            </w:r>
            <w:r>
              <w:rPr>
                <w:rFonts w:hint="eastAsia" w:ascii="仿宋_GB2312" w:hAnsi="仿宋_GB2312" w:eastAsia="仿宋_GB2312" w:cs="仿宋_GB2312"/>
                <w:color w:val="auto"/>
                <w:sz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_GB2312" w:hAnsi="仿宋_GB2312" w:eastAsia="仿宋_GB2312" w:cs="仿宋_GB2312"/>
                <w:color w:val="auto"/>
                <w:sz w:val="24"/>
                <w:lang w:eastAsia="zh-CN"/>
              </w:rPr>
              <w:t>核心课程设置符合《普通高等学校本科专业类教学质量国家标准》要求。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r>
              <w:rPr>
                <w:rFonts w:hint="eastAsia"/>
                <w:color w:val="auto"/>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1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 课程体系</w:t>
            </w:r>
          </w:p>
        </w:tc>
        <w:tc>
          <w:tcPr>
            <w:tcW w:w="2635"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 课程设置对知识、能力和素质要求的支持程度</w:t>
            </w:r>
          </w:p>
        </w:tc>
        <w:tc>
          <w:tcPr>
            <w:tcW w:w="4702"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课程设置对培养计划中的知识、能力和素质要求的支持程度。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r>
              <w:rPr>
                <w:rFonts w:hint="eastAsia"/>
                <w:color w:val="auto"/>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 课程体系</w:t>
            </w:r>
          </w:p>
        </w:tc>
        <w:tc>
          <w:tcPr>
            <w:tcW w:w="2635"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 教学计划中专业主干课程和主要专业课程对知识和能力要求的支持程度</w:t>
            </w:r>
          </w:p>
        </w:tc>
        <w:tc>
          <w:tcPr>
            <w:tcW w:w="4702"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教学计划中专业基础课程和专业课程对知识和能力要求的支持程度。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r>
              <w:rPr>
                <w:rFonts w:hint="eastAsia"/>
                <w:color w:val="auto"/>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tc>
      </w:tr>
    </w:tbl>
    <w:p>
      <w:pPr>
        <w:widowControl/>
        <w:jc w:val="left"/>
        <w:rPr>
          <w:rFonts w:hint="eastAsia" w:ascii="仿宋" w:hAnsi="仿宋" w:eastAsia="仿宋" w:cs="仿宋"/>
          <w:color w:val="auto"/>
          <w:kern w:val="0"/>
          <w:sz w:val="24"/>
          <w:szCs w:val="24"/>
          <w:lang w:val="en-US" w:eastAsia="zh-CN"/>
        </w:rPr>
      </w:pPr>
    </w:p>
    <w:p>
      <w:pPr>
        <w:widowControl/>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r>
        <w:rPr>
          <w:rFonts w:hint="eastAsia" w:ascii="仿宋" w:hAnsi="仿宋" w:eastAsia="仿宋" w:cs="仿宋"/>
          <w:color w:val="auto"/>
          <w:sz w:val="24"/>
          <w:szCs w:val="24"/>
          <w:lang w:val="en-US" w:eastAsia="zh-CN" w:bidi="ar"/>
        </w:rPr>
        <w:t xml:space="preserve"> 培养模式改革创新</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78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1.2.1 专业国际化人才培养的改革措施与实施效果</w:t>
            </w:r>
          </w:p>
        </w:tc>
        <w:tc>
          <w:tcPr>
            <w:tcW w:w="468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专业国际化人才培养的改革措施与实施效果。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7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1.2.2 专业人才培养模式改革创新的具体措施与实施效果</w:t>
            </w:r>
          </w:p>
        </w:tc>
        <w:tc>
          <w:tcPr>
            <w:tcW w:w="468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专业人才培养模式改革创新的具体措施和实施效果。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7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1.2.3专业思政与课程思政的改革措施与实施效果</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专业思政与课程思政的改革措施与实施效果。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spacing w:line="300" w:lineRule="exact"/>
        <w:rPr>
          <w:color w:val="auto"/>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pPr>
        <w:rPr>
          <w:color w:val="auto"/>
          <w:sz w:val="28"/>
          <w:szCs w:val="28"/>
        </w:rPr>
      </w:pPr>
      <w:r>
        <w:rPr>
          <w:rFonts w:hint="eastAsia" w:ascii="仿宋" w:hAnsi="仿宋" w:eastAsia="仿宋" w:cs="宋体"/>
          <w:color w:val="auto"/>
          <w:sz w:val="24"/>
          <w:szCs w:val="24"/>
          <w:lang w:val="en-US" w:eastAsia="zh-CN" w:bidi="ar"/>
        </w:rPr>
        <w:t>2.教学资源</w:t>
      </w:r>
    </w:p>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2.1 专业师资基本情况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65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78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80"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2.1.1 专业生师比</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业教师指从事专业课（含专业基础课）教学工作的专任教师；未来，对于有硕士生、博士生培养资质的专业，将硕士生和博士生分别按照1.5和3的比例折算成本科生数，然后计算专业生师比。各参评专业，专业教师数量应达到《普通高等学校本科专业类教学质量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460" w:type="dxa"/>
            <w:gridSpan w:val="3"/>
            <w:vAlign w:val="center"/>
          </w:tcPr>
          <w:p>
            <w:pPr>
              <w:keepNext w:val="0"/>
              <w:keepLines w:val="0"/>
              <w:widowControl/>
              <w:suppressLineNumbers w:val="0"/>
              <w:spacing w:before="0" w:beforeAutospacing="0" w:after="0" w:afterAutospacing="0"/>
              <w:ind w:left="0" w:right="0"/>
              <w:jc w:val="both"/>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780"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2.1.2 博士学位教师比例</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专业教师中具有博士学位教师所占比例，应超过30%。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780"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2.1.3 高层次教师情况</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高层次教师为学校人事处制定的《营口理工学院人才引进工作管理办法》所指人才。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78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2.1.4 教师背景和水平要求</w:t>
            </w:r>
          </w:p>
        </w:tc>
        <w:tc>
          <w:tcPr>
            <w:tcW w:w="4680" w:type="dxa"/>
            <w:vAlign w:val="top"/>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各参评专业按照《普通高等学校本科专业类教学质量国家标准》要求执行。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0" w:type="dxa"/>
            <w:gridSpan w:val="3"/>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4"/>
                <w:lang w:eastAsia="zh-CN"/>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8460" w:type="dxa"/>
            <w:gridSpan w:val="3"/>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123"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2.1.5 近四年本专业高级职称教师为本专业本科生授课情况</w:t>
            </w:r>
          </w:p>
        </w:tc>
        <w:tc>
          <w:tcPr>
            <w:tcW w:w="2657"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1.近四年本专业教授为本专业本科生授课的授课率。</w:t>
            </w:r>
          </w:p>
        </w:tc>
        <w:tc>
          <w:tcPr>
            <w:tcW w:w="468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教授授课主要是指教授讲授理论课，而指导实践教学环节不计算在内，无教授的专业按副教授为本专业本科生授课的授课率统计。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r>
              <w:rPr>
                <w:rFonts w:hint="eastAsia"/>
                <w:color w:val="auto"/>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1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2.1.6 近四年本专业高级职称教师为本专业本科生授课情况</w:t>
            </w:r>
          </w:p>
        </w:tc>
        <w:tc>
          <w:tcPr>
            <w:tcW w:w="2657"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 近四年由本专业高级职称教师承担的专业课（含专业基础课）的比例。</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专业课主要是指理论课，而实践教学环节不计算在内，高级职称教师指具有副高级（含副高级）以上职称的专业教师。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r>
              <w:rPr>
                <w:rFonts w:hint="eastAsia"/>
                <w:color w:val="auto"/>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8460" w:type="dxa"/>
            <w:gridSpan w:val="3"/>
            <w:vAlign w:val="center"/>
          </w:tcPr>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p>
            <w:pPr>
              <w:keepNext w:val="0"/>
              <w:keepLines w:val="0"/>
              <w:suppressLineNumbers w:val="0"/>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80"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2.1.7 具有行业经历专任教师比例</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具备下列情形之一者视为具有行业经历：①曾在相关行业工作6个月及以上；②曾与相关行业企业合作开展过科研项目(合同额5万元以上)。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80"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2.1.6 中青年教师参加实践教学能力培训比例</w:t>
            </w:r>
          </w:p>
        </w:tc>
        <w:tc>
          <w:tcPr>
            <w:tcW w:w="468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中青年教师指45周岁以下（含45周岁）教师；参加实践教学能力培训指以下两种情况之一：①曾接受相关行业培训并取得相应证书；②曾与相关行业合作开展过科研项目。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pPr>
    </w:p>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2.2专业教师科研情况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79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2.2.1 近四年教师发表学术论文情况（20篇代表论文）</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学术论文指以第一署名单位为营口理工学院发表的本专业领域内的学术论文；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2.2.2 近四年教师获得省部级以上科研奖励情况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18"/>
                <w:szCs w:val="18"/>
                <w:lang w:val="en-US" w:eastAsia="zh-CN"/>
              </w:rPr>
              <w:t>科研奖励指获得国家自然科学奖、技术发明奖、科技进步奖、教育部高校科研成果奖（科学技术、人文社科）；省政府自然科学奖、技术发明奖、科技进步奖、哲学社科奖；国家级行业协会（或学会）（包括中国钢铁工业协会、中国煤炭工业协会、中国石油和化学工业联合会、中华医学会、中国轻工业联合会、中国纺织工业协会、中国有色金属工业协会、中国电机工程学会、中国通信学会、中国质量协会、中国机械工业联合会、中国黄金协会、中国汽车工程学会、中国农学会、中国发明协会、中华中医药学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2.2.3 近四年教师主持科研项目情况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以第一立项单位主持国家级课题（科技部课题、国家自然基金课题、国家社科基金课题等）、部委级项目、省级项目（省教育厅科研立项、省科技厅立项、省自然科学基金、省哲学/社科基金）及合同额超过5万元的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2.3 教师教研情况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2.3.1 近四年教师发表教研论文数量</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教研论文是指以第一署名单位为</w:t>
            </w:r>
            <w:r>
              <w:rPr>
                <w:rFonts w:hint="eastAsia" w:ascii="仿宋_GB2312" w:hAnsi="仿宋_GB2312" w:eastAsia="仿宋_GB2312" w:cs="仿宋_GB2312"/>
                <w:color w:val="auto"/>
                <w:sz w:val="24"/>
                <w:lang w:eastAsia="zh-CN"/>
              </w:rPr>
              <w:t>营</w:t>
            </w:r>
            <w:r>
              <w:rPr>
                <w:rFonts w:hint="eastAsia" w:ascii="仿宋" w:hAnsi="仿宋" w:eastAsia="仿宋" w:cs="仿宋"/>
                <w:color w:val="auto"/>
                <w:sz w:val="21"/>
                <w:szCs w:val="21"/>
                <w:lang w:val="en-US" w:eastAsia="zh-CN"/>
              </w:rPr>
              <w:t>口理工学院发表的与本专业教学研究相关的论文，不包括学术研究有关的论文。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2.3.2 近十年教师主持编写本专业教材情况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本专业教师主编的公开出版列入规划的本专业教材。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2.3.3 近十年教师主持省级以上教研项目情况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省级以上教研项目包括：国家及省教育行政部门教改立项、国家及省教育科学规划课题、中国高教学会立项课题。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default"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2.4实验实践教学条件</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2.4.1 现有教学实验仪器设备（含软件）生均值</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单价1000元以上的设备。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2.4.2 近四年新增的教学实验仪器设备（含软件）生均值</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近四年新增的单价1000元以上设备。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2.4.3 近四年校外实习实践基地数量及各基地实习学生人次数与专业在校生总数的比值</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校外实习实践基地指近四年有学生实习且签有协议的实习实践基地。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24"/>
                <w:lang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24"/>
                <w:lang w:eastAsia="zh-CN"/>
              </w:rPr>
            </w:pPr>
          </w:p>
        </w:tc>
      </w:tr>
    </w:tbl>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2.5 图书资料</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2.5.1精品在线开放课程情况</w:t>
            </w:r>
          </w:p>
        </w:tc>
        <w:tc>
          <w:tcPr>
            <w:tcW w:w="466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精品在线开放课程是指国家级、省级、校级三类课程。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46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46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2.5.2 现有生均专业纸质图书资料册数</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本专业的图书资料（含学校与院、系）是指供本专业教学、科研使用的图书资料。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2.5.3 现有专业电子图书资料源的个数</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本专业的电子图书资料源（含学校与院、系）是指供本专业教学科研使用的、由资源提供方完成更新的、可全文下载的电子资源，不包括随书的资料光盘。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p>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3.培养过程</w:t>
      </w:r>
    </w:p>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3.1教学大纲</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3.1.1教学大纲制定与执行</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本专业主要专业课程教学大纲的内容和执行对课程目标的支持程度。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pPr>
    </w:p>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3.2课堂教学教与学模式</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3.2.1课堂教学教与学模式改革与效果</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本专业课堂教学教与学模式改革方案设计、执行情况及实施效果。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3.3实践教学教与学模式</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3.3.1实践教学教与学模式改革与效果</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本专业实践教学环节教与学模式改革方案设计、执行情况及实施效果。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pPr>
    </w:p>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3.4课堂教学学业评价</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3.4.1课堂教学学业评价情况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本专业课堂教学的学业评价方式、执行情况及实施效果。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rPr>
          <w:rFonts w:hint="eastAsia"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3.5实践教学学业评价</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3.5.1实践教学学业评价情况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实践教学环节的学业评价方式、执行情况及实施效果。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0" w:type="dxa"/>
            <w:gridSpan w:val="2"/>
            <w:vAlign w:val="center"/>
          </w:tcPr>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4.</w:t>
      </w:r>
      <w:r>
        <w:rPr>
          <w:rFonts w:hint="eastAsia" w:ascii="仿宋" w:hAnsi="仿宋" w:eastAsia="仿宋" w:cs="仿宋"/>
          <w:color w:val="auto"/>
          <w:sz w:val="24"/>
          <w:szCs w:val="24"/>
          <w:lang w:val="en-US" w:eastAsia="zh-CN" w:bidi="ar"/>
        </w:rPr>
        <w:t>科教学工程与教学成果奖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bidi="ar"/>
        </w:rPr>
        <w:t>4.1 本科教学工程项目</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4.1.1 历年省级以上本科教学工程项目</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18"/>
                <w:szCs w:val="18"/>
                <w:lang w:val="en-US" w:eastAsia="zh-CN" w:bidi="ar"/>
              </w:rPr>
              <w:t>省级以上本科教学工程项目包括示范专业、特色专业、紧缺人才培养基地、人才培养模式创新实验区、教学团队、专业带头人、精品课程、双语示范课程、综合改革试点专业、工程人才培养模式改革试点专业、创新创业教育改革试点专业、课程体系国际化试点专业、重点支持专业、优势特色专业、向应用型转变示范专业、国家一流本科专业建设点、省一流本科教育示范专业、大学生校外实践教育基地、工程实践教育中心、创新创业教育实践基地、实验教学示范中心、虚拟仿真实验教学中心、虚拟仿真实验教学项目、精品在线开放课程、精品视频公开课、精品资源共享课、立体化教材、精品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spacing w:line="620" w:lineRule="exact"/>
        <w:jc w:val="both"/>
        <w:rPr>
          <w:rFonts w:hint="eastAsia"/>
          <w:b/>
          <w:color w:val="auto"/>
          <w:sz w:val="36"/>
          <w:szCs w:val="36"/>
        </w:rPr>
      </w:pPr>
      <w:r>
        <w:rPr>
          <w:rFonts w:hint="eastAsia" w:ascii="仿宋" w:hAnsi="仿宋" w:eastAsia="仿宋" w:cs="宋体"/>
          <w:color w:val="auto"/>
          <w:sz w:val="24"/>
          <w:szCs w:val="24"/>
          <w:lang w:val="en-US" w:eastAsia="zh-CN" w:bidi="ar"/>
        </w:rPr>
        <w:t>4.2教学成果奖</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4.2.1 历年省级以上教学成果奖</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该专业教师参与完成的省级以上教学成果奖。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5.教学质量保障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5.1质量保障体系</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5.1.1 质量监控</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教学质量监控的机制及教学各个环节的质量监控措施。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5.1.2 质量评价</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教学质量评价机制是否健全、是否涵盖教学的各个环节、是否有多角度的评价，质量评价措施及实施情况。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5.1.3 反馈及改进</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质量保障体系是否有持续改进。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numPr>
          <w:ilvl w:val="0"/>
          <w:numId w:val="0"/>
        </w:numPr>
        <w:spacing w:line="620" w:lineRule="exact"/>
        <w:jc w:val="both"/>
        <w:rPr>
          <w:rFonts w:hint="default"/>
          <w:b/>
          <w:color w:val="auto"/>
          <w:sz w:val="36"/>
          <w:szCs w:val="36"/>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val="en-US" w:eastAsia="zh-CN" w:bidi="ar"/>
        </w:rPr>
        <w:t>培养效果与声望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6.1</w:t>
      </w:r>
      <w:r>
        <w:rPr>
          <w:rFonts w:hint="eastAsia" w:ascii="仿宋" w:hAnsi="仿宋" w:eastAsia="仿宋" w:cs="仿宋"/>
          <w:b w:val="0"/>
          <w:bCs/>
          <w:color w:val="auto"/>
          <w:sz w:val="24"/>
          <w:szCs w:val="24"/>
          <w:lang w:val="en-US" w:eastAsia="zh-CN" w:bidi="ar"/>
        </w:rPr>
        <w:t>就业情况与培养质量</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6.1.1 毕业生就业率情况</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本专业毕业生年终就业率、灵活就业率。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6.1.2 十名优秀校友简介</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校友指17届及以后本科生。每人简介500字以内。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4"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spacing w:line="620" w:lineRule="exact"/>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6.2</w:t>
      </w:r>
      <w:r>
        <w:rPr>
          <w:rFonts w:hint="eastAsia" w:ascii="仿宋" w:hAnsi="仿宋" w:eastAsia="仿宋" w:cs="仿宋"/>
          <w:b w:val="0"/>
          <w:bCs/>
          <w:color w:val="auto"/>
          <w:sz w:val="24"/>
          <w:szCs w:val="24"/>
          <w:lang w:val="en-US" w:eastAsia="zh-CN" w:bidi="ar"/>
        </w:rPr>
        <w:t>在校学生综合素质</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34"/>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6.2.1 近四年参加创新创业活动及参与科研项目学生人次数与专业在校生总数的比值</w:t>
            </w:r>
          </w:p>
        </w:tc>
        <w:tc>
          <w:tcPr>
            <w:tcW w:w="4664"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创新创业活动指：国家、省、校三级“大学生创新创业训练计划”；科研项目指：学生作为课题组成员参加的各类国家、省部和市级纵向项目以及正式签定合同的包含技术咨询、技术服务、技术开发的立项项目。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79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6.2.2近四年专业接收来华留学学历生数量</w:t>
            </w:r>
          </w:p>
        </w:tc>
        <w:tc>
          <w:tcPr>
            <w:tcW w:w="4664"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近四年专业接收来华留学学历生数量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79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6.2.3近四年专业派出境外交流学生数量</w:t>
            </w:r>
          </w:p>
        </w:tc>
        <w:tc>
          <w:tcPr>
            <w:tcW w:w="4664"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本专业到境外（含港澳台）高校进行交流学习3周以上的学生占本专业学生总数比例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230" w:type="dxa"/>
            <w:gridSpan w:val="2"/>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宋体"/>
                <w:color w:val="auto"/>
                <w:kern w:val="2"/>
                <w:sz w:val="21"/>
                <w:szCs w:val="21"/>
                <w:lang w:val="en-US" w:eastAsia="zh-CN" w:bidi="ar"/>
              </w:rPr>
            </w:pPr>
            <w:r>
              <w:rPr>
                <w:rFonts w:hint="eastAsia" w:ascii="仿宋" w:hAnsi="仿宋" w:eastAsia="仿宋" w:cs="宋体"/>
                <w:color w:val="auto"/>
                <w:sz w:val="21"/>
                <w:szCs w:val="21"/>
                <w:lang w:val="en-US" w:eastAsia="zh-CN" w:bidi="ar"/>
              </w:rPr>
              <w:t>6.2.4 近四年学生获省级以上各类竞赛奖励情况</w:t>
            </w:r>
          </w:p>
        </w:tc>
        <w:tc>
          <w:tcPr>
            <w:tcW w:w="423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宋体"/>
                <w:color w:val="auto"/>
                <w:kern w:val="2"/>
                <w:sz w:val="21"/>
                <w:szCs w:val="21"/>
                <w:lang w:val="en-US" w:eastAsia="zh-CN" w:bidi="ar"/>
              </w:rPr>
            </w:pPr>
            <w:r>
              <w:rPr>
                <w:rFonts w:hint="eastAsia" w:ascii="仿宋" w:hAnsi="仿宋" w:eastAsia="仿宋" w:cs="宋体"/>
                <w:color w:val="auto"/>
                <w:sz w:val="21"/>
                <w:szCs w:val="21"/>
                <w:lang w:val="en-US" w:eastAsia="zh-CN" w:bidi="ar"/>
              </w:rPr>
              <w:t>该专业学生为获奖人之一。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230" w:type="dxa"/>
            <w:gridSpan w:val="2"/>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宋体"/>
                <w:color w:val="auto"/>
                <w:kern w:val="2"/>
                <w:sz w:val="21"/>
                <w:szCs w:val="21"/>
                <w:lang w:val="en-US" w:eastAsia="zh-CN" w:bidi="ar"/>
              </w:rPr>
            </w:pPr>
            <w:r>
              <w:rPr>
                <w:rFonts w:hint="eastAsia" w:ascii="仿宋" w:hAnsi="仿宋" w:eastAsia="仿宋" w:cs="宋体"/>
                <w:color w:val="auto"/>
                <w:sz w:val="21"/>
                <w:szCs w:val="21"/>
                <w:lang w:val="en-US" w:eastAsia="zh-CN" w:bidi="ar"/>
              </w:rPr>
              <w:t>6.2.5 近四年学生发表学术论文及专利受理等情况</w:t>
            </w:r>
          </w:p>
        </w:tc>
        <w:tc>
          <w:tcPr>
            <w:tcW w:w="423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宋体"/>
                <w:color w:val="auto"/>
                <w:kern w:val="2"/>
                <w:sz w:val="21"/>
                <w:szCs w:val="21"/>
                <w:lang w:val="en-US" w:eastAsia="zh-CN" w:bidi="ar"/>
              </w:rPr>
            </w:pPr>
            <w:r>
              <w:rPr>
                <w:rFonts w:hint="eastAsia" w:ascii="仿宋" w:hAnsi="仿宋" w:eastAsia="仿宋" w:cs="宋体"/>
                <w:color w:val="auto"/>
                <w:sz w:val="21"/>
                <w:szCs w:val="21"/>
                <w:lang w:val="en-US" w:eastAsia="zh-CN" w:bidi="ar"/>
              </w:rPr>
              <w:t>该专业学生为发表学术论文第一或第二作者；该专业学生为专利受理限额内成员。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60" w:type="dxa"/>
            <w:gridSpan w:val="3"/>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auto"/>
                <w:kern w:val="0"/>
                <w:sz w:val="24"/>
                <w:szCs w:val="24"/>
                <w:lang w:val="en-US" w:eastAsia="zh-CN" w:bidi="ar-SA"/>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6.2.6 五名优秀在校生简介</w:t>
            </w:r>
          </w:p>
        </w:tc>
        <w:tc>
          <w:tcPr>
            <w:tcW w:w="4664" w:type="dxa"/>
            <w:gridSpan w:val="2"/>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本专业在校生，每人简介300字以内。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3"/>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0" w:type="dxa"/>
            <w:gridSpan w:val="3"/>
            <w:vAlign w:val="center"/>
          </w:tcPr>
          <w:p>
            <w:pPr>
              <w:keepNext w:val="0"/>
              <w:keepLines w:val="0"/>
              <w:widowControl/>
              <w:suppressLineNumbers w:val="0"/>
              <w:spacing w:before="0" w:beforeAutospacing="0" w:after="0" w:afterAutospacing="0"/>
              <w:ind w:left="0" w:right="0" w:firstLine="420" w:firstLineChars="200"/>
              <w:jc w:val="left"/>
              <w:rPr>
                <w:rFonts w:ascii="宋体" w:hAnsi="宋体"/>
                <w:color w:val="auto"/>
                <w:kern w:val="0"/>
                <w:sz w:val="24"/>
              </w:rPr>
            </w:pPr>
            <w:r>
              <w:rPr>
                <w:rFonts w:hint="eastAsia" w:ascii="仿宋" w:hAnsi="仿宋" w:eastAsia="仿宋" w:cs="宋体"/>
                <w:color w:val="auto"/>
                <w:sz w:val="21"/>
                <w:szCs w:val="21"/>
                <w:lang w:val="en-US" w:eastAsia="zh-CN" w:bidi="ar"/>
              </w:rPr>
              <w:t>每人简介限300字以内，需填写学生的出生年月、本专业入学时间，着重说明优秀在校生在综合素质和综合能力方面的突出程度。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460" w:type="dxa"/>
            <w:gridSpan w:val="3"/>
            <w:vAlign w:val="center"/>
          </w:tcPr>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p>
            <w:pPr>
              <w:keepNext w:val="0"/>
              <w:keepLines w:val="0"/>
              <w:widowControl/>
              <w:suppressLineNumbers w:val="0"/>
              <w:spacing w:before="0" w:beforeAutospacing="0" w:after="0" w:afterAutospacing="0"/>
              <w:ind w:left="0" w:right="0"/>
              <w:jc w:val="both"/>
              <w:rPr>
                <w:rFonts w:ascii="宋体" w:hAnsi="宋体"/>
                <w:color w:val="auto"/>
                <w:kern w:val="0"/>
                <w:sz w:val="24"/>
              </w:rPr>
            </w:pPr>
          </w:p>
        </w:tc>
      </w:tr>
    </w:tbl>
    <w:p>
      <w:pPr>
        <w:spacing w:line="620" w:lineRule="exact"/>
        <w:jc w:val="both"/>
        <w:rPr>
          <w:rFonts w:hint="eastAsia"/>
          <w:b/>
          <w:color w:val="auto"/>
          <w:sz w:val="36"/>
          <w:szCs w:val="36"/>
        </w:rPr>
      </w:pPr>
      <w:r>
        <w:rPr>
          <w:rFonts w:hint="eastAsia" w:ascii="仿宋" w:hAnsi="仿宋" w:eastAsia="仿宋" w:cs="宋体"/>
          <w:color w:val="auto"/>
          <w:sz w:val="24"/>
          <w:szCs w:val="24"/>
          <w:lang w:val="en-US" w:eastAsia="zh-CN" w:bidi="ar"/>
        </w:rPr>
        <w:t>6.3招生录取情况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9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主要观测点</w:t>
            </w:r>
          </w:p>
        </w:tc>
        <w:tc>
          <w:tcPr>
            <w:tcW w:w="46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3796"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6.3.1近四年国家统一高考录取的本专业学生入学平均（标准）分数</w:t>
            </w:r>
          </w:p>
        </w:tc>
        <w:tc>
          <w:tcPr>
            <w:tcW w:w="466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bidi="ar"/>
              </w:rPr>
              <w:t>本专业每名学生高考总分（不包括加分）除以该生所在省高考满分值（文、理分科）后的标准分的平均值。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0" w:type="dxa"/>
            <w:gridSpan w:val="2"/>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p>
            <w:pPr>
              <w:keepNext w:val="0"/>
              <w:keepLines w:val="0"/>
              <w:widowControl/>
              <w:suppressLineNumbers w:val="0"/>
              <w:spacing w:before="0" w:beforeAutospacing="0" w:after="0" w:afterAutospacing="0"/>
              <w:ind w:left="0" w:right="0"/>
              <w:jc w:val="center"/>
              <w:rPr>
                <w:rFonts w:ascii="宋体" w:hAnsi="宋体"/>
                <w:color w:val="auto"/>
                <w:kern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color w:val="auto"/>
          <w:sz w:val="24"/>
          <w:szCs w:val="24"/>
          <w:lang w:val="en-US" w:eastAsia="zh-CN" w:bidi="ar"/>
        </w:rPr>
        <w:t>专业特色及服务区域经济发展情况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7.1专业服务区域经济发展情况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84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本专业服务区域经济发展特别是服务营口及周边经济社会发展情况（800字以内）。</w:t>
            </w: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tc>
      </w:tr>
    </w:tbl>
    <w:p>
      <w:pPr>
        <w:spacing w:line="620" w:lineRule="exact"/>
        <w:jc w:val="both"/>
        <w:rPr>
          <w:rFonts w:hint="default" w:ascii="仿宋" w:hAnsi="仿宋" w:eastAsia="仿宋" w:cs="宋体"/>
          <w:color w:val="auto"/>
          <w:sz w:val="24"/>
          <w:szCs w:val="24"/>
          <w:lang w:val="en-US" w:eastAsia="zh-CN" w:bidi="ar"/>
        </w:rPr>
      </w:pPr>
      <w:r>
        <w:rPr>
          <w:rFonts w:hint="eastAsia" w:ascii="仿宋" w:hAnsi="仿宋" w:eastAsia="仿宋" w:cs="宋体"/>
          <w:color w:val="auto"/>
          <w:sz w:val="24"/>
          <w:szCs w:val="24"/>
          <w:lang w:val="en-US" w:eastAsia="zh-CN" w:bidi="ar"/>
        </w:rPr>
        <w:t>7.2专业特色、实施过程和效果</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84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在实践中培育和凝练出的专业特色及其效果说明（1000字以内）。</w:t>
            </w: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tc>
      </w:tr>
    </w:tbl>
    <w:p>
      <w:pPr>
        <w:keepNext w:val="0"/>
        <w:keepLines w:val="0"/>
        <w:widowControl/>
        <w:suppressLineNumbers w:val="0"/>
        <w:spacing w:before="0" w:beforeAutospacing="0" w:after="0" w:afterAutospacing="0"/>
        <w:ind w:left="0" w:right="0" w:firstLine="420"/>
        <w:jc w:val="left"/>
        <w:rPr>
          <w:rFonts w:hint="eastAsia" w:ascii="仿宋" w:hAnsi="仿宋" w:eastAsia="仿宋" w:cs="宋体"/>
          <w:color w:val="auto"/>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8.工程教育专业认证教学改革情况</w:t>
      </w:r>
    </w:p>
    <w:p>
      <w:pPr>
        <w:keepNext w:val="0"/>
        <w:keepLines w:val="0"/>
        <w:widowControl/>
        <w:suppressLineNumbers w:val="0"/>
        <w:spacing w:before="0" w:beforeAutospacing="0" w:after="0" w:afterAutospacing="0"/>
        <w:ind w:left="0" w:right="0" w:firstLine="420"/>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8.1</w:t>
      </w:r>
      <w:r>
        <w:rPr>
          <w:rFonts w:hint="eastAsia" w:ascii="仿宋_GB2312" w:hAnsi="仿宋_GB2312" w:eastAsia="仿宋_GB2312" w:cs="仿宋_GB2312"/>
          <w:color w:val="auto"/>
          <w:sz w:val="24"/>
          <w:lang w:eastAsia="zh-CN"/>
        </w:rPr>
        <w:t>工程教育专业认证教学改革情况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tc>
      </w:tr>
    </w:tbl>
    <w:p>
      <w:pPr>
        <w:keepNext w:val="0"/>
        <w:keepLines w:val="0"/>
        <w:widowControl/>
        <w:suppressLineNumbers w:val="0"/>
        <w:spacing w:before="0" w:beforeAutospacing="0" w:after="0" w:afterAutospacing="0"/>
        <w:ind w:left="0" w:right="0" w:firstLine="420"/>
        <w:jc w:val="left"/>
        <w:rPr>
          <w:rFonts w:hint="default" w:ascii="仿宋_GB2312" w:hAnsi="仿宋_GB2312" w:eastAsia="仿宋_GB2312" w:cs="仿宋_GB2312"/>
          <w:color w:val="auto"/>
          <w:sz w:val="24"/>
          <w:lang w:val="en-US" w:eastAsia="zh-CN"/>
        </w:rPr>
      </w:pPr>
    </w:p>
    <w:p>
      <w:pPr>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9.新工科、新文科改革建设情况</w:t>
      </w:r>
    </w:p>
    <w:p>
      <w:pPr>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9.1新工科改革建设工作或新文科改革建设工作开展情况</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rPr>
            </w:pPr>
            <w:r>
              <w:rPr>
                <w:rFonts w:hint="eastAsia" w:ascii="宋体" w:hAnsi="宋体"/>
                <w:color w:val="auto"/>
                <w:kern w:val="0"/>
                <w:sz w:val="24"/>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0" w:type="dxa"/>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bookmarkStart w:id="0" w:name="_GoBack"/>
            <w:bookmarkEnd w:id="0"/>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center"/>
              <w:rPr>
                <w:rFonts w:hint="eastAsia" w:ascii="宋体" w:hAnsi="宋体"/>
                <w:color w:val="auto"/>
                <w:kern w:val="0"/>
                <w:sz w:val="24"/>
              </w:rPr>
            </w:pPr>
          </w:p>
          <w:p>
            <w:pPr>
              <w:keepNext w:val="0"/>
              <w:keepLines w:val="0"/>
              <w:widowControl/>
              <w:suppressLineNumbers w:val="0"/>
              <w:spacing w:before="0" w:beforeAutospacing="0" w:after="0" w:afterAutospacing="0"/>
              <w:ind w:left="0" w:right="0"/>
              <w:jc w:val="both"/>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4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以上填报内容真实有效，无弄虚作假现象，如有发现将直接评定为“不合格”。</w:t>
            </w: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p>
          <w:p>
            <w:pPr>
              <w:keepNext w:val="0"/>
              <w:keepLines w:val="0"/>
              <w:widowControl/>
              <w:suppressLineNumbers w:val="0"/>
              <w:spacing w:before="0" w:beforeAutospacing="0" w:after="0" w:afterAutospacing="0"/>
              <w:ind w:left="0" w:right="0" w:firstLine="210" w:firstLineChars="100"/>
              <w:jc w:val="left"/>
              <w:rPr>
                <w:rFonts w:hint="default"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专业负责人：                                             院长：</w:t>
            </w:r>
          </w:p>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 xml:space="preserve">      年    月    日                                          年    月    日</w:t>
            </w:r>
          </w:p>
        </w:tc>
      </w:tr>
    </w:tbl>
    <w:p>
      <w:pPr>
        <w:keepNext w:val="0"/>
        <w:keepLines w:val="0"/>
        <w:widowControl/>
        <w:suppressLineNumbers w:val="0"/>
        <w:spacing w:before="0" w:beforeAutospacing="0" w:after="0" w:afterAutospacing="0"/>
        <w:ind w:left="0" w:right="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注：1.本表各填报表单项，填报空间不足的可自行调整页面空间，但不能随意删减填报项；</w:t>
      </w:r>
    </w:p>
    <w:p>
      <w:pPr>
        <w:keepNext w:val="0"/>
        <w:keepLines w:val="0"/>
        <w:widowControl/>
        <w:suppressLineNumbers w:val="0"/>
        <w:spacing w:before="0" w:beforeAutospacing="0" w:after="0" w:afterAutospacing="0"/>
        <w:ind w:left="0" w:right="0" w:firstLine="420"/>
        <w:jc w:val="left"/>
        <w:rPr>
          <w:rFonts w:hint="eastAsia" w:ascii="仿宋" w:hAnsi="仿宋" w:eastAsia="仿宋" w:cs="宋体"/>
          <w:color w:val="auto"/>
          <w:sz w:val="21"/>
          <w:szCs w:val="21"/>
          <w:lang w:val="en-US" w:eastAsia="zh-CN" w:bidi="ar"/>
        </w:rPr>
      </w:pPr>
      <w:r>
        <w:rPr>
          <w:rFonts w:hint="eastAsia" w:ascii="仿宋" w:hAnsi="仿宋" w:eastAsia="仿宋" w:cs="宋体"/>
          <w:color w:val="auto"/>
          <w:sz w:val="21"/>
          <w:szCs w:val="21"/>
          <w:lang w:val="en-US" w:eastAsia="zh-CN" w:bidi="ar"/>
        </w:rPr>
        <w:t>2.本表设计主要基于《营口理工学院本科专业评估指标体系》完成；</w:t>
      </w:r>
    </w:p>
    <w:p>
      <w:pPr>
        <w:keepNext w:val="0"/>
        <w:keepLines w:val="0"/>
        <w:widowControl/>
        <w:suppressLineNumbers w:val="0"/>
        <w:spacing w:before="0" w:beforeAutospacing="0" w:after="0" w:afterAutospacing="0"/>
        <w:ind w:left="0" w:right="0" w:firstLine="420"/>
        <w:jc w:val="left"/>
        <w:rPr>
          <w:rFonts w:hint="default" w:ascii="仿宋_GB2312" w:hAnsi="仿宋_GB2312" w:eastAsia="仿宋_GB2312" w:cs="仿宋_GB2312"/>
          <w:color w:val="auto"/>
          <w:sz w:val="24"/>
          <w:lang w:val="en-US" w:eastAsia="zh-CN"/>
        </w:rPr>
      </w:pPr>
      <w:r>
        <w:rPr>
          <w:rFonts w:hint="eastAsia" w:ascii="仿宋" w:hAnsi="仿宋" w:eastAsia="仿宋" w:cs="宋体"/>
          <w:color w:val="auto"/>
          <w:sz w:val="21"/>
          <w:szCs w:val="21"/>
          <w:lang w:val="en-US" w:eastAsia="zh-CN" w:bidi="ar"/>
        </w:rPr>
        <w:t>3.本表以A4纸，单面打印，一式7份，胶装成册。</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长城小标宋体">
    <w:panose1 w:val="02010609010101010101"/>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10CAE"/>
    <w:rsid w:val="00081C1E"/>
    <w:rsid w:val="0067572D"/>
    <w:rsid w:val="00993FF9"/>
    <w:rsid w:val="00D50BC6"/>
    <w:rsid w:val="00EB7D08"/>
    <w:rsid w:val="00F10CAE"/>
    <w:rsid w:val="024736D9"/>
    <w:rsid w:val="03545598"/>
    <w:rsid w:val="0E3544A9"/>
    <w:rsid w:val="18A84F71"/>
    <w:rsid w:val="18CA7027"/>
    <w:rsid w:val="1A5C0C2C"/>
    <w:rsid w:val="1D851C62"/>
    <w:rsid w:val="1F762A78"/>
    <w:rsid w:val="206C1066"/>
    <w:rsid w:val="236865C9"/>
    <w:rsid w:val="23FA524A"/>
    <w:rsid w:val="3A640DC0"/>
    <w:rsid w:val="3BB71FC0"/>
    <w:rsid w:val="42482BE4"/>
    <w:rsid w:val="45D07A75"/>
    <w:rsid w:val="46FD5DC3"/>
    <w:rsid w:val="4BEC5D37"/>
    <w:rsid w:val="53F67D62"/>
    <w:rsid w:val="55300AEE"/>
    <w:rsid w:val="56756293"/>
    <w:rsid w:val="57D53379"/>
    <w:rsid w:val="5A225813"/>
    <w:rsid w:val="5A975B1D"/>
    <w:rsid w:val="620556A7"/>
    <w:rsid w:val="65231DC9"/>
    <w:rsid w:val="676741EA"/>
    <w:rsid w:val="6D516C0B"/>
    <w:rsid w:val="6E610C06"/>
    <w:rsid w:val="71335A5E"/>
    <w:rsid w:val="73EA5805"/>
    <w:rsid w:val="74662DFE"/>
    <w:rsid w:val="77822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Plain Text"/>
    <w:basedOn w:val="1"/>
    <w:qFormat/>
    <w:uiPriority w:val="0"/>
    <w:rPr>
      <w:rFonts w:ascii="宋体" w:hAnsi="Courier New" w:cs="Times New Roman"/>
      <w:szCs w:val="20"/>
    </w:rPr>
  </w:style>
  <w:style w:type="paragraph" w:styleId="4">
    <w:name w:val="footer"/>
    <w:basedOn w:val="1"/>
    <w:qFormat/>
    <w:uiPriority w:val="99"/>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522</Words>
  <Characters>2982</Characters>
  <Lines>24</Lines>
  <Paragraphs>6</Paragraphs>
  <TotalTime>1</TotalTime>
  <ScaleCrop>false</ScaleCrop>
  <LinksUpToDate>false</LinksUpToDate>
  <CharactersWithSpaces>3498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2019-06-06T05:46:00Z</dcterms:created>
  <dc:creator>清风 .</dc:creator>
  <cp:lastModifiedBy>赵树</cp:lastModifiedBy>
  <dcterms:modified xsi:type="dcterms:W3CDTF">2021-06-04T01:36:47Z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EF5C8D974540410AAE946E5AECBBFCE1</vt:lpwstr>
  </property>
</Properties>
</file>