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BD" w:rsidRPr="009311BD" w:rsidRDefault="009311BD" w:rsidP="009311BD">
      <w:pPr>
        <w:shd w:val="clear" w:color="auto" w:fill="FFFFFF"/>
        <w:spacing w:before="100" w:beforeAutospacing="1" w:after="100" w:afterAutospacing="1" w:line="240" w:lineRule="auto"/>
        <w:jc w:val="center"/>
        <w:outlineLvl w:val="1"/>
        <w:rPr>
          <w:rFonts w:ascii="微软雅黑" w:eastAsia="微软雅黑" w:hAnsi="微软雅黑" w:cs="宋体"/>
          <w:b/>
          <w:bCs/>
          <w:color w:val="4B4B4B"/>
          <w:kern w:val="36"/>
          <w:sz w:val="30"/>
          <w:szCs w:val="30"/>
        </w:rPr>
      </w:pPr>
      <w:r w:rsidRPr="009311BD">
        <w:rPr>
          <w:rFonts w:ascii="微软雅黑" w:eastAsia="微软雅黑" w:hAnsi="微软雅黑" w:cs="宋体" w:hint="eastAsia"/>
          <w:b/>
          <w:bCs/>
          <w:color w:val="4B4B4B"/>
          <w:kern w:val="36"/>
          <w:sz w:val="30"/>
          <w:szCs w:val="30"/>
        </w:rPr>
        <w:t>中共教育部党组关于加快直属高校</w:t>
      </w:r>
      <w:r w:rsidRPr="009311BD">
        <w:rPr>
          <w:rFonts w:ascii="微软雅黑" w:eastAsia="微软雅黑" w:hAnsi="微软雅黑" w:cs="宋体" w:hint="eastAsia"/>
          <w:b/>
          <w:bCs/>
          <w:color w:val="4B4B4B"/>
          <w:kern w:val="36"/>
          <w:sz w:val="30"/>
          <w:szCs w:val="30"/>
        </w:rPr>
        <w:br/>
      </w:r>
      <w:bookmarkStart w:id="0" w:name="_GoBack"/>
      <w:r w:rsidRPr="009311BD">
        <w:rPr>
          <w:rFonts w:ascii="微软雅黑" w:eastAsia="微软雅黑" w:hAnsi="微软雅黑" w:cs="宋体" w:hint="eastAsia"/>
          <w:b/>
          <w:bCs/>
          <w:color w:val="4B4B4B"/>
          <w:kern w:val="36"/>
          <w:sz w:val="30"/>
          <w:szCs w:val="30"/>
        </w:rPr>
        <w:t>高层次人才发展的指导意见</w:t>
      </w:r>
      <w:bookmarkEnd w:id="0"/>
    </w:p>
    <w:p w:rsidR="009311BD" w:rsidRPr="009311BD" w:rsidRDefault="009311BD" w:rsidP="009311BD">
      <w:pPr>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教党〔2017〕40号</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部属各高等学校党委：</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为深入贯彻中央《关于深化人才发展体制机制改革的意见》，落实立德树人根本任务，推进世界一流大学和一流学科建设，全面提高高等教育质量，现就加快直属高校高层次人才发展提出以下指导意见。</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w:t>
      </w:r>
      <w:r w:rsidRPr="009311BD">
        <w:rPr>
          <w:rFonts w:ascii="微软雅黑" w:eastAsia="微软雅黑" w:hAnsi="微软雅黑" w:cs="宋体" w:hint="eastAsia"/>
          <w:b/>
          <w:bCs/>
          <w:color w:val="4B4B4B"/>
          <w:kern w:val="0"/>
          <w:sz w:val="24"/>
          <w:szCs w:val="24"/>
        </w:rPr>
        <w:t xml:space="preserve">　一、指导思想、基本原则和主要目标 </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（一）指导思想。全面贯彻党的十八大和十八届三中、四中、五中、六中全会精神，深入贯彻习近平总书记系列重要讲话精神和治国</w:t>
      </w:r>
      <w:proofErr w:type="gramStart"/>
      <w:r w:rsidRPr="009311BD">
        <w:rPr>
          <w:rFonts w:ascii="微软雅黑" w:eastAsia="微软雅黑" w:hAnsi="微软雅黑" w:cs="宋体" w:hint="eastAsia"/>
          <w:color w:val="4B4B4B"/>
          <w:kern w:val="0"/>
          <w:sz w:val="24"/>
          <w:szCs w:val="24"/>
        </w:rPr>
        <w:t>理政新理念</w:t>
      </w:r>
      <w:proofErr w:type="gramEnd"/>
      <w:r w:rsidRPr="009311BD">
        <w:rPr>
          <w:rFonts w:ascii="微软雅黑" w:eastAsia="微软雅黑" w:hAnsi="微软雅黑" w:cs="宋体" w:hint="eastAsia"/>
          <w:color w:val="4B4B4B"/>
          <w:kern w:val="0"/>
          <w:sz w:val="24"/>
          <w:szCs w:val="24"/>
        </w:rPr>
        <w:t>新思想新战略，认真落实总书记关于“聚天下英才而用之”等重要论述，遵循高等教育发展规律和人才成长规律，牢固树立科学人才观，坚持以立德树人为根本、以增强人才活力为核心、以深化体制机制改革为着力点，加快培养造就具有国际竞争力的高层次人才队伍，为提升高校创新能力、推动高等教育事业发展提供坚实的人才支撑和制度保证。</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（二）基本原则</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坚持党管人才。进一步加强和改进党对人才工作的领导，健全党</w:t>
      </w:r>
      <w:proofErr w:type="gramStart"/>
      <w:r w:rsidRPr="009311BD">
        <w:rPr>
          <w:rFonts w:ascii="微软雅黑" w:eastAsia="微软雅黑" w:hAnsi="微软雅黑" w:cs="宋体" w:hint="eastAsia"/>
          <w:color w:val="4B4B4B"/>
          <w:kern w:val="0"/>
          <w:sz w:val="24"/>
          <w:szCs w:val="24"/>
        </w:rPr>
        <w:t>管人才</w:t>
      </w:r>
      <w:proofErr w:type="gramEnd"/>
      <w:r w:rsidRPr="009311BD">
        <w:rPr>
          <w:rFonts w:ascii="微软雅黑" w:eastAsia="微软雅黑" w:hAnsi="微软雅黑" w:cs="宋体" w:hint="eastAsia"/>
          <w:color w:val="4B4B4B"/>
          <w:kern w:val="0"/>
          <w:sz w:val="24"/>
          <w:szCs w:val="24"/>
        </w:rPr>
        <w:t>领导体制和工作机制，</w:t>
      </w:r>
      <w:proofErr w:type="gramStart"/>
      <w:r w:rsidRPr="009311BD">
        <w:rPr>
          <w:rFonts w:ascii="微软雅黑" w:eastAsia="微软雅黑" w:hAnsi="微软雅黑" w:cs="宋体" w:hint="eastAsia"/>
          <w:color w:val="4B4B4B"/>
          <w:kern w:val="0"/>
          <w:sz w:val="24"/>
          <w:szCs w:val="24"/>
        </w:rPr>
        <w:t>创新党管人才</w:t>
      </w:r>
      <w:proofErr w:type="gramEnd"/>
      <w:r w:rsidRPr="009311BD">
        <w:rPr>
          <w:rFonts w:ascii="微软雅黑" w:eastAsia="微软雅黑" w:hAnsi="微软雅黑" w:cs="宋体" w:hint="eastAsia"/>
          <w:color w:val="4B4B4B"/>
          <w:kern w:val="0"/>
          <w:sz w:val="24"/>
          <w:szCs w:val="24"/>
        </w:rPr>
        <w:t>方式方法，突出政治标准，严把政治方向。</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lastRenderedPageBreak/>
        <w:t xml:space="preserve">　　服务发展大局。聚焦国家发展重大需求，增强社会服务能力，发挥高校对创新驱动发展的引领支撑作用。</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突出育人导向。将立德树人要求贯穿高层次人才发展全过程，充分发挥其教学示范、科研模范和师德师风典范作用。</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激发人才活力。向高校放权，为人才松绑，创新高层次人才发展体制机制，促使各方面人才各得其所、尽展其长。</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优化人才布局。坚持正确导向，规范人才合理流动，加大对中西部、东北地区高校支持力度。</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扩大人才开放。实施更积极、更开放、更有效的人才引进政策，深化对外交流合作，提升人才国际化水平。</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三）主要目标。到2020年，高层次人才队伍建设取得重大进展，规模、结构和质量适应事业发展需求，管理体制更加科学，培养引进、评价使用、激励保障、流动共享机制更加规范有效，创新创造活力充分迸发，服务创新驱动发展战略、推动国家经济社会发展的示范引领作用进一步增强，推动形成具有中国特色和国际竞争力的高等学校人才制度体系和发展环境。</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w:t>
      </w:r>
      <w:r w:rsidRPr="009311BD">
        <w:rPr>
          <w:rFonts w:ascii="微软雅黑" w:eastAsia="微软雅黑" w:hAnsi="微软雅黑" w:cs="宋体" w:hint="eastAsia"/>
          <w:b/>
          <w:bCs/>
          <w:color w:val="4B4B4B"/>
          <w:kern w:val="0"/>
          <w:sz w:val="24"/>
          <w:szCs w:val="24"/>
        </w:rPr>
        <w:t xml:space="preserve">二、强化高层次人才培育支持 </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lastRenderedPageBreak/>
        <w:t xml:space="preserve">　　（四）加强思想理论教育和政治引领。深入开展理想信念学习教育，坚定中国特色社会主义道路自信、理论自信、制度自信、文化自信。坚持以德立身、以德立学、以德施教，把社会主义核心价值观融入教书育人和人才发展全过程，引导高层次人才做社会主义核心价值观的坚定信仰者、积极传播者和模范</w:t>
      </w:r>
      <w:proofErr w:type="gramStart"/>
      <w:r w:rsidRPr="009311BD">
        <w:rPr>
          <w:rFonts w:ascii="微软雅黑" w:eastAsia="微软雅黑" w:hAnsi="微软雅黑" w:cs="宋体" w:hint="eastAsia"/>
          <w:color w:val="4B4B4B"/>
          <w:kern w:val="0"/>
          <w:sz w:val="24"/>
          <w:szCs w:val="24"/>
        </w:rPr>
        <w:t>践行</w:t>
      </w:r>
      <w:proofErr w:type="gramEnd"/>
      <w:r w:rsidRPr="009311BD">
        <w:rPr>
          <w:rFonts w:ascii="微软雅黑" w:eastAsia="微软雅黑" w:hAnsi="微软雅黑" w:cs="宋体" w:hint="eastAsia"/>
          <w:color w:val="4B4B4B"/>
          <w:kern w:val="0"/>
          <w:sz w:val="24"/>
          <w:szCs w:val="24"/>
        </w:rPr>
        <w:t>者。在人才引进、人才选聘、课题申报、职称评审、导师遴选等过程中，坚持思想政治素质和师德规范要求，实行“一票否决”制。</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五）加大人才发展支持力度。完善人才发展投入机制，加大人才开发投入力度。实施重大建设工程和项目时，统筹安排人才开发培养经费。落实财政科研项目和资金管理规定，扩大高校在科研项目资金、差旅会议、基本建设、科研仪器设备采购等方面的管理权限，</w:t>
      </w:r>
      <w:proofErr w:type="gramStart"/>
      <w:r w:rsidRPr="009311BD">
        <w:rPr>
          <w:rFonts w:ascii="微软雅黑" w:eastAsia="微软雅黑" w:hAnsi="微软雅黑" w:cs="宋体" w:hint="eastAsia"/>
          <w:color w:val="4B4B4B"/>
          <w:kern w:val="0"/>
          <w:sz w:val="24"/>
          <w:szCs w:val="24"/>
        </w:rPr>
        <w:t>让经费</w:t>
      </w:r>
      <w:proofErr w:type="gramEnd"/>
      <w:r w:rsidRPr="009311BD">
        <w:rPr>
          <w:rFonts w:ascii="微软雅黑" w:eastAsia="微软雅黑" w:hAnsi="微软雅黑" w:cs="宋体" w:hint="eastAsia"/>
          <w:color w:val="4B4B4B"/>
          <w:kern w:val="0"/>
          <w:sz w:val="24"/>
          <w:szCs w:val="24"/>
        </w:rPr>
        <w:t>更有效地为人才的创造性活动服务。鼓励高校多渠道筹措人才发展资金，引导社会力量参与支持高校人才队伍建设。高校要优化资源配置和管理方式，围绕人才合理配置研究生招生指标、科研经费、办公实验用房等核心资源，特别向高层次人才和优秀青年人才倾斜。</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六）着力造就杰出人才、领军人才及高水平创新团队。深入实施国家“千人计划”“万人计划”和“长江学者奖励计划”等重大人才工程，支持高校牵头或参与国家实验室、大科学计划、大科学工程、大科学装置和</w:t>
      </w:r>
      <w:proofErr w:type="gramStart"/>
      <w:r w:rsidRPr="009311BD">
        <w:rPr>
          <w:rFonts w:ascii="微软雅黑" w:eastAsia="微软雅黑" w:hAnsi="微软雅黑" w:cs="宋体" w:hint="eastAsia"/>
          <w:color w:val="4B4B4B"/>
          <w:kern w:val="0"/>
          <w:sz w:val="24"/>
          <w:szCs w:val="24"/>
        </w:rPr>
        <w:t>国家智库建设</w:t>
      </w:r>
      <w:proofErr w:type="gramEnd"/>
      <w:r w:rsidRPr="009311BD">
        <w:rPr>
          <w:rFonts w:ascii="微软雅黑" w:eastAsia="微软雅黑" w:hAnsi="微软雅黑" w:cs="宋体" w:hint="eastAsia"/>
          <w:color w:val="4B4B4B"/>
          <w:kern w:val="0"/>
          <w:sz w:val="24"/>
          <w:szCs w:val="24"/>
        </w:rPr>
        <w:t>，培养集聚一批具有国际影响的高层次人才和高水平创新团队。统筹实施各类哲学社会科学人才计划，着力发现、培养、集聚一批有深厚马克思主义理论素养、学贯中西的思想家和理论家，一批理论功底扎实、勇于开拓创新的学科带头人。支持高校设立杰出人才工作室，探</w:t>
      </w:r>
      <w:r w:rsidRPr="009311BD">
        <w:rPr>
          <w:rFonts w:ascii="微软雅黑" w:eastAsia="微软雅黑" w:hAnsi="微软雅黑" w:cs="宋体" w:hint="eastAsia"/>
          <w:color w:val="4B4B4B"/>
          <w:kern w:val="0"/>
          <w:sz w:val="24"/>
          <w:szCs w:val="24"/>
        </w:rPr>
        <w:lastRenderedPageBreak/>
        <w:t>索首席专家负责制，赋予领衔专家更大的人财物支配权、技术路线决策权。配合有关部门探索完善专业技术一级岗位设置。</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七）大力培养青年英才。完善“长江学者奖励计划”青年学者项目，鼓励高校积极参与创新人才推进计划、青年拔尖人才计划、优秀青年科学基金项目。中央高校基本科研业务费重点支持青年人才提升创新能力。加大国家留学基金资助力度，加强青年人才国际化培养。高校要完善青年人才培养机制，建立</w:t>
      </w:r>
      <w:proofErr w:type="gramStart"/>
      <w:r w:rsidRPr="009311BD">
        <w:rPr>
          <w:rFonts w:ascii="微软雅黑" w:eastAsia="微软雅黑" w:hAnsi="微软雅黑" w:cs="宋体" w:hint="eastAsia"/>
          <w:color w:val="4B4B4B"/>
          <w:kern w:val="0"/>
          <w:sz w:val="24"/>
          <w:szCs w:val="24"/>
        </w:rPr>
        <w:t>健全普</w:t>
      </w:r>
      <w:proofErr w:type="gramEnd"/>
      <w:r w:rsidRPr="009311BD">
        <w:rPr>
          <w:rFonts w:ascii="微软雅黑" w:eastAsia="微软雅黑" w:hAnsi="微软雅黑" w:cs="宋体" w:hint="eastAsia"/>
          <w:color w:val="4B4B4B"/>
          <w:kern w:val="0"/>
          <w:sz w:val="24"/>
          <w:szCs w:val="24"/>
        </w:rPr>
        <w:t>惠性支持措施。改革完善青年人才管理体制，创新青年人才培养开发、评价发现、选拔任用、流动配置、激励保障机制，善于发现、重点支持、放手使用青年优秀人才。加强知识产权保护，鼓励青年人才创新创造。鼓励和支持青年人才参与战略前沿领域研究，着力培养一批青年科技创新领军人才。</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八）加强国际组织人才培养。加强高校国际组织后备人才队伍建设，支持高层次人才到国际组织任职服务。加强培训指导与信息服务，支持青年人才、优秀毕业生到国际组织实习任职。加快相关学科和人才培养基地建设，完善分层分类培养支持举措。大力实施国家留学基金“国际组织实习项目”，扩大国家公派出国留学相关专业人员选派规模。</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w:t>
      </w:r>
      <w:r w:rsidRPr="009311BD">
        <w:rPr>
          <w:rFonts w:ascii="微软雅黑" w:eastAsia="微软雅黑" w:hAnsi="微软雅黑" w:cs="宋体" w:hint="eastAsia"/>
          <w:b/>
          <w:bCs/>
          <w:color w:val="4B4B4B"/>
          <w:kern w:val="0"/>
          <w:sz w:val="24"/>
          <w:szCs w:val="24"/>
        </w:rPr>
        <w:t xml:space="preserve">　三、加强海外高层次人才引进 </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（九）突出“高精尖缺”导向。围绕“一流大学和一流学科”建设，重点引进活跃在国际学术前沿、满足国家重大战略需求的一流科学家、学科领军人物和创新团队、</w:t>
      </w:r>
      <w:r w:rsidRPr="009311BD">
        <w:rPr>
          <w:rFonts w:ascii="微软雅黑" w:eastAsia="微软雅黑" w:hAnsi="微软雅黑" w:cs="宋体" w:hint="eastAsia"/>
          <w:color w:val="4B4B4B"/>
          <w:kern w:val="0"/>
          <w:sz w:val="24"/>
          <w:szCs w:val="24"/>
        </w:rPr>
        <w:lastRenderedPageBreak/>
        <w:t>高层次青年人才和急需紧缺青年专门人才。对国家急需紧缺的特殊人才，开辟专门渠道，实现精准引进。高校要科学制定引才规划，明确引才目标任务、重点领域和优先次序。</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十）加大海外高层次人才引进力度。更大力度实施海外引才计划、高等学校学科创新引智计划，吸引更多海外高层次人才和优秀青年人才来华从事教学、科研和管理工作。发挥驻外使（领）馆、华人华侨组织、校友组织和专业化人才服务机构作用，多渠道引进优秀人才。支持高校面向全球公开招聘院系负责人、学科带头人，在海外建立办学机构、人才工作站。建立访问学者制度，实施多元化、柔性人才引进机制，吸引海外人才以多种形式到校从事咨询、讲学、科研等活动。积极吸引海外优秀博士从事博士后研究。</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十一）充分发挥海外高层次人才作用。坚持充分尊重、积极支持、放手使用的方针，鼓励海外高层次人才在参与专业决策、领衔重大项目、开展教育教学改革和扩大对外交流等方面发挥更大作用。支持海外高层次人才承担科技计划项目及课题，深度参与科研攻关和技术创新，适度放开外籍高层次人才参与教学科研奖项评选限制。高校要发挥用人主体作用，完善支持配套政策，为海外高层次人才在生活上提供更多便利，在工作上提供更多机会和更大舞台。鼓励高校建立改革试验区，创新海外高层次人才组织和管理模式。</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w:t>
      </w:r>
      <w:r w:rsidRPr="009311BD">
        <w:rPr>
          <w:rFonts w:ascii="微软雅黑" w:eastAsia="微软雅黑" w:hAnsi="微软雅黑" w:cs="宋体" w:hint="eastAsia"/>
          <w:b/>
          <w:bCs/>
          <w:color w:val="4B4B4B"/>
          <w:kern w:val="0"/>
          <w:sz w:val="24"/>
          <w:szCs w:val="24"/>
        </w:rPr>
        <w:t xml:space="preserve">　四、优化高层次人才考核评价 </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lastRenderedPageBreak/>
        <w:t xml:space="preserve">　　（十二）突出品德、能力和业绩导向。坚持德才兼备，以德为先，严把人才选聘考核政治关，引导高层次人才成为有理想信念、有道德情操、有扎实学识、有仁爱之心的教师楷模，成为学生锤炼品德、学习知识、创新思维、奉献祖国的引路人。突出教育教学实绩，把教书育人成效作为高层次人才考核的核心内容。完善科研评价导向，注重研究成果的学术价值和社会效益，建立代表性成果评价机制。坚持发展性评价与奖惩性评价相结合，充分发挥发展性评价对于人才专业发展的引领作用，合理发挥奖惩性评价的激励约束作用。</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十三）完善分类评价体系。根据学科、类型和人才发展阶段，逐步完善体现中国特色、符合国际通行标准的人才分类评价体系。充分发挥基层学术组织作用，完善具有学科特色的评价标准、评价流程。在坚持教科融合和岗位分类管理的基础上，针对教学、科研、社会服务等不同岗位的职责要求和工作特点，完善评价指标体系，各有侧重。对于职业成长期的人才，重点评价其发展潜力和创新能力；对于职业成熟期的人才，重点评价其专业领导力和影响力。</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十四）改进评价方式。科学设置考核评价周期和考核办法，激励高层次人才投身重大原始创新研究。完善同行评议制度，注重发挥“小同行”、国际同行评价作用。注重引入市场评价和社会评价，发挥多元评价主体作用。探索个人成长与团队发展相结合的评价方式，注重参与者在团队发展中的实际贡献。发挥专业化的人才评价机构作用，建立第三方评价机制。建立评审专家评价责任和信誉制度。</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w:t>
      </w:r>
      <w:r w:rsidRPr="009311BD">
        <w:rPr>
          <w:rFonts w:ascii="微软雅黑" w:eastAsia="微软雅黑" w:hAnsi="微软雅黑" w:cs="宋体" w:hint="eastAsia"/>
          <w:b/>
          <w:bCs/>
          <w:color w:val="4B4B4B"/>
          <w:kern w:val="0"/>
          <w:sz w:val="24"/>
          <w:szCs w:val="24"/>
        </w:rPr>
        <w:t xml:space="preserve">五、创新高层次人才激励保障机制 </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lastRenderedPageBreak/>
        <w:t xml:space="preserve">　　（十五）完善分配激励机制。建立健全有利于提高竞争力的内部分配机制，绩效工资向关键岗位、高层次人才、业务骨干和</w:t>
      </w:r>
      <w:proofErr w:type="gramStart"/>
      <w:r w:rsidRPr="009311BD">
        <w:rPr>
          <w:rFonts w:ascii="微软雅黑" w:eastAsia="微软雅黑" w:hAnsi="微软雅黑" w:cs="宋体" w:hint="eastAsia"/>
          <w:color w:val="4B4B4B"/>
          <w:kern w:val="0"/>
          <w:sz w:val="24"/>
          <w:szCs w:val="24"/>
        </w:rPr>
        <w:t>作出</w:t>
      </w:r>
      <w:proofErr w:type="gramEnd"/>
      <w:r w:rsidRPr="009311BD">
        <w:rPr>
          <w:rFonts w:ascii="微软雅黑" w:eastAsia="微软雅黑" w:hAnsi="微软雅黑" w:cs="宋体" w:hint="eastAsia"/>
          <w:color w:val="4B4B4B"/>
          <w:kern w:val="0"/>
          <w:sz w:val="24"/>
          <w:szCs w:val="24"/>
        </w:rPr>
        <w:t>突出贡献的人员倾斜。鼓励高校实行高层次人才协议工资制、项目工资制等绩效工资分配方式，统筹考虑引进高层次人才与现有高层次人才工资待遇，建立符合实际、水平适当、发展均衡、管理规范的薪酬分配体系。教学科研人员依法取得的科技成果转化奖励收入、校外兼职收入不受绩效工资总额限制。</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十六）健全人才荣誉表彰制度。建立以政府奖励为导向、高校和社会力量奖励为主体的分层次多样化高层次人才奖励体系。落实国家荣誉制度，积极推荐高层次人才参评国家勋章和国家荣誉称号。开展教学名师等评选表彰，加强典型宣传，发挥示范引领作用。加强和改进高等学校教学科研优秀成果奖评选工作，积极推动完善哲学社会科学领域国家级奖励体系。高校要统筹完善校级人才荣誉表彰制度，褒扬优秀人才，营造良好氛围。</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十七）推动完善人才社会保障。健全完善社会保障体系，切实解决人才及家庭在签证、住房、医疗、保险、子女教育等方面的实际问题。对于高校急需的高层次人才优先办理引进手续。将高校全职长期聘用的海外人才依法纳入社会保障范围。做好社会保险转移接续工作，推动高校职员制度与社会保险制度相衔接。</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w:t>
      </w:r>
      <w:r w:rsidRPr="009311BD">
        <w:rPr>
          <w:rFonts w:ascii="微软雅黑" w:eastAsia="微软雅黑" w:hAnsi="微软雅黑" w:cs="宋体" w:hint="eastAsia"/>
          <w:b/>
          <w:bCs/>
          <w:color w:val="4B4B4B"/>
          <w:kern w:val="0"/>
          <w:sz w:val="24"/>
          <w:szCs w:val="24"/>
        </w:rPr>
        <w:t xml:space="preserve">　六、促进高层次人才顺畅有序流动 </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lastRenderedPageBreak/>
        <w:t xml:space="preserve">　　（十八）支持高层次人才流动共享。鼓励高校在与科研机构、企业签署人才流动共享协议的基础上，通过协同创新、建立联合实验室、联合开展重大科研攻关等方式，实现人才资源优势互补。教学科研人员在学校同意的前提下，按规范的制度和程序到科研机构、企业兼职。高校可根据实际需要设立一定比例的流动岗位，吸纳企业、科研机构、行业部门和其他组织优秀人才到学校兼职。</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十九）加强高层次人才流动的规范化管理。强化高校与人才的契约关系和法治意识，落实聘用合同管理，明确双方权利、义务和违约责任等。国家人才计划入选者、重大科研项目负责人应重诺守信，模范遵守聘任合同，聘期内或项目执行期内原则上不得变更工作单位。发挥高校人才工作联盟作用，鼓励高校逐步建立行业自律机制和人才流动协商沟通机制，探索建立人才成果合理共享机制，探索人才流动中对前期培养投入的补偿机制，推动高层次人才诚信体系建设。</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二十）鼓励高层次人才向中西部和东北地区高校流动。坚持正确的人才流动导向，在薪酬、职务、职称晋升等方面采取倾斜政策，引导高层次人才向中西部和东北地区高校流动。突出重大人才项目政策导向，通过设立专项计划、适度放宽年龄限制、加大支持力度等方式进行倾斜。支持中西部和东北地区高校发掘特色资源，搭建特色平台，发展特色学科，增强人才集聚优势。不鼓励东部地区高校从中西部、东北地区高校引进人才，支持东部地区高校向中西部、东北地区高校输出人才，帮助中西部和东北地区“输血”“造血”。</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w:t>
      </w:r>
      <w:r w:rsidRPr="009311BD">
        <w:rPr>
          <w:rFonts w:ascii="微软雅黑" w:eastAsia="微软雅黑" w:hAnsi="微软雅黑" w:cs="宋体" w:hint="eastAsia"/>
          <w:b/>
          <w:bCs/>
          <w:color w:val="4B4B4B"/>
          <w:kern w:val="0"/>
          <w:sz w:val="24"/>
          <w:szCs w:val="24"/>
        </w:rPr>
        <w:t xml:space="preserve">　七、加强人才工作组织领导 </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lastRenderedPageBreak/>
        <w:t xml:space="preserve">　　（二十一）完善党</w:t>
      </w:r>
      <w:proofErr w:type="gramStart"/>
      <w:r w:rsidRPr="009311BD">
        <w:rPr>
          <w:rFonts w:ascii="微软雅黑" w:eastAsia="微软雅黑" w:hAnsi="微软雅黑" w:cs="宋体" w:hint="eastAsia"/>
          <w:color w:val="4B4B4B"/>
          <w:kern w:val="0"/>
          <w:sz w:val="24"/>
          <w:szCs w:val="24"/>
        </w:rPr>
        <w:t>管人才</w:t>
      </w:r>
      <w:proofErr w:type="gramEnd"/>
      <w:r w:rsidRPr="009311BD">
        <w:rPr>
          <w:rFonts w:ascii="微软雅黑" w:eastAsia="微软雅黑" w:hAnsi="微软雅黑" w:cs="宋体" w:hint="eastAsia"/>
          <w:color w:val="4B4B4B"/>
          <w:kern w:val="0"/>
          <w:sz w:val="24"/>
          <w:szCs w:val="24"/>
        </w:rPr>
        <w:t>工作机制。认真落实党</w:t>
      </w:r>
      <w:proofErr w:type="gramStart"/>
      <w:r w:rsidRPr="009311BD">
        <w:rPr>
          <w:rFonts w:ascii="微软雅黑" w:eastAsia="微软雅黑" w:hAnsi="微软雅黑" w:cs="宋体" w:hint="eastAsia"/>
          <w:color w:val="4B4B4B"/>
          <w:kern w:val="0"/>
          <w:sz w:val="24"/>
          <w:szCs w:val="24"/>
        </w:rPr>
        <w:t>管人才</w:t>
      </w:r>
      <w:proofErr w:type="gramEnd"/>
      <w:r w:rsidRPr="009311BD">
        <w:rPr>
          <w:rFonts w:ascii="微软雅黑" w:eastAsia="微软雅黑" w:hAnsi="微软雅黑" w:cs="宋体" w:hint="eastAsia"/>
          <w:color w:val="4B4B4B"/>
          <w:kern w:val="0"/>
          <w:sz w:val="24"/>
          <w:szCs w:val="24"/>
        </w:rPr>
        <w:t>原则，全面贯彻落实党的人才工作方针政策。健全党委领导和工作机制，及时研究部署人才工作，谋划大局，把握方向，解决问题，统筹推进高层次人才和其他各类人才发展。切实提高内部治理水平，落实为人才松绑改革要求，努力营造鼓励创新、宽容失败的工作环境，待遇适当、无后顾之忧的生活环境，公开平等、竞争择优的制度环境。</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二十二）实行人才工作目标责任考核。建立高校各级党政领导班子和领导干部人才工作目标责任制，将高层次人才发展列为落实党建工作责任制情况述职的重要内容。考核结果作为领导班子评优、干部评价的重要依据，与年度综合绩效考核挂钩。</w:t>
      </w:r>
    </w:p>
    <w:p w:rsidR="009311BD" w:rsidRPr="009311BD" w:rsidRDefault="009311BD" w:rsidP="009311BD">
      <w:pPr>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 xml:space="preserve">　　（二十三）加强对人才的联系服务。开展高层次</w:t>
      </w:r>
      <w:proofErr w:type="gramStart"/>
      <w:r w:rsidRPr="009311BD">
        <w:rPr>
          <w:rFonts w:ascii="微软雅黑" w:eastAsia="微软雅黑" w:hAnsi="微软雅黑" w:cs="宋体" w:hint="eastAsia"/>
          <w:color w:val="4B4B4B"/>
          <w:kern w:val="0"/>
          <w:sz w:val="24"/>
          <w:szCs w:val="24"/>
        </w:rPr>
        <w:t>人才国情</w:t>
      </w:r>
      <w:proofErr w:type="gramEnd"/>
      <w:r w:rsidRPr="009311BD">
        <w:rPr>
          <w:rFonts w:ascii="微软雅黑" w:eastAsia="微软雅黑" w:hAnsi="微软雅黑" w:cs="宋体" w:hint="eastAsia"/>
          <w:color w:val="4B4B4B"/>
          <w:kern w:val="0"/>
          <w:sz w:val="24"/>
          <w:szCs w:val="24"/>
        </w:rPr>
        <w:t xml:space="preserve">研修等教育实践活动，强化政治引领和政治吸纳。落实领导干部联系服务专家制度，班子成员要带头听取专家意见建议，帮助解决实际问题，密切思想感情联系。充分发挥人才在决策咨询、评审评估、科学普及和知识传播等方面作用，加强高层次人才典型宣传。组织专家体检、休假和疗养，提供良好医疗保健服务，关心高层次人才身心健康。　</w:t>
      </w:r>
    </w:p>
    <w:p w:rsidR="009311BD" w:rsidRPr="009311BD" w:rsidRDefault="009311BD" w:rsidP="009311BD">
      <w:pPr>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中共教育部党组</w:t>
      </w:r>
    </w:p>
    <w:p w:rsidR="009311BD" w:rsidRPr="009311BD" w:rsidRDefault="009311BD" w:rsidP="009311BD">
      <w:pPr>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311BD">
        <w:rPr>
          <w:rFonts w:ascii="微软雅黑" w:eastAsia="微软雅黑" w:hAnsi="微软雅黑" w:cs="宋体" w:hint="eastAsia"/>
          <w:color w:val="4B4B4B"/>
          <w:kern w:val="0"/>
          <w:sz w:val="24"/>
          <w:szCs w:val="24"/>
        </w:rPr>
        <w:t>2017年7月25日</w:t>
      </w:r>
    </w:p>
    <w:p w:rsidR="0098722C" w:rsidRDefault="0098722C"/>
    <w:sectPr w:rsidR="0098722C" w:rsidSect="00287B6B">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BD"/>
    <w:rsid w:val="0000026B"/>
    <w:rsid w:val="00002AEB"/>
    <w:rsid w:val="00023538"/>
    <w:rsid w:val="00024077"/>
    <w:rsid w:val="0003400A"/>
    <w:rsid w:val="000629AF"/>
    <w:rsid w:val="000F04B5"/>
    <w:rsid w:val="0015184A"/>
    <w:rsid w:val="00184720"/>
    <w:rsid w:val="001B677E"/>
    <w:rsid w:val="001E028B"/>
    <w:rsid w:val="001E1C53"/>
    <w:rsid w:val="002000A5"/>
    <w:rsid w:val="00232A24"/>
    <w:rsid w:val="002337D6"/>
    <w:rsid w:val="00255C01"/>
    <w:rsid w:val="0027171F"/>
    <w:rsid w:val="00276BD3"/>
    <w:rsid w:val="00280714"/>
    <w:rsid w:val="00287B6B"/>
    <w:rsid w:val="00290411"/>
    <w:rsid w:val="002F3ED2"/>
    <w:rsid w:val="0030439B"/>
    <w:rsid w:val="003572A0"/>
    <w:rsid w:val="0036555D"/>
    <w:rsid w:val="00365C7A"/>
    <w:rsid w:val="003832E0"/>
    <w:rsid w:val="00385494"/>
    <w:rsid w:val="0039366E"/>
    <w:rsid w:val="003A4C9A"/>
    <w:rsid w:val="003E59C2"/>
    <w:rsid w:val="004056DB"/>
    <w:rsid w:val="004238BF"/>
    <w:rsid w:val="0043134A"/>
    <w:rsid w:val="0044111D"/>
    <w:rsid w:val="00443B57"/>
    <w:rsid w:val="004469E8"/>
    <w:rsid w:val="00446BD8"/>
    <w:rsid w:val="00493245"/>
    <w:rsid w:val="004B019D"/>
    <w:rsid w:val="004F0E1B"/>
    <w:rsid w:val="005003DB"/>
    <w:rsid w:val="0052501D"/>
    <w:rsid w:val="00562C2F"/>
    <w:rsid w:val="0056586D"/>
    <w:rsid w:val="00596ECD"/>
    <w:rsid w:val="005A2641"/>
    <w:rsid w:val="005D71A1"/>
    <w:rsid w:val="006230A4"/>
    <w:rsid w:val="00654E0C"/>
    <w:rsid w:val="00660B08"/>
    <w:rsid w:val="0067529D"/>
    <w:rsid w:val="006B5C07"/>
    <w:rsid w:val="006B7094"/>
    <w:rsid w:val="00715B18"/>
    <w:rsid w:val="00746177"/>
    <w:rsid w:val="00756B1F"/>
    <w:rsid w:val="007D4116"/>
    <w:rsid w:val="00805D8A"/>
    <w:rsid w:val="00823618"/>
    <w:rsid w:val="00845A57"/>
    <w:rsid w:val="008626AA"/>
    <w:rsid w:val="00871A91"/>
    <w:rsid w:val="008825D1"/>
    <w:rsid w:val="008A774A"/>
    <w:rsid w:val="008C1CA1"/>
    <w:rsid w:val="008D53A8"/>
    <w:rsid w:val="009311BD"/>
    <w:rsid w:val="009746D1"/>
    <w:rsid w:val="0098722C"/>
    <w:rsid w:val="009C67D1"/>
    <w:rsid w:val="009D0B8B"/>
    <w:rsid w:val="009F636F"/>
    <w:rsid w:val="00A51943"/>
    <w:rsid w:val="00A826E4"/>
    <w:rsid w:val="00A9356D"/>
    <w:rsid w:val="00AA4049"/>
    <w:rsid w:val="00AB3449"/>
    <w:rsid w:val="00AC1BB3"/>
    <w:rsid w:val="00AE1D4D"/>
    <w:rsid w:val="00B342E0"/>
    <w:rsid w:val="00B76443"/>
    <w:rsid w:val="00B9282C"/>
    <w:rsid w:val="00B93642"/>
    <w:rsid w:val="00BA293B"/>
    <w:rsid w:val="00BA4BCF"/>
    <w:rsid w:val="00C1759B"/>
    <w:rsid w:val="00C32E59"/>
    <w:rsid w:val="00C67FF7"/>
    <w:rsid w:val="00C85489"/>
    <w:rsid w:val="00C8690A"/>
    <w:rsid w:val="00CE2932"/>
    <w:rsid w:val="00CF4BF3"/>
    <w:rsid w:val="00D36D51"/>
    <w:rsid w:val="00D47508"/>
    <w:rsid w:val="00D77597"/>
    <w:rsid w:val="00D81AE2"/>
    <w:rsid w:val="00D865EA"/>
    <w:rsid w:val="00DB7096"/>
    <w:rsid w:val="00DD54A8"/>
    <w:rsid w:val="00DE63FA"/>
    <w:rsid w:val="00DE6428"/>
    <w:rsid w:val="00E35E18"/>
    <w:rsid w:val="00E73E46"/>
    <w:rsid w:val="00E771A6"/>
    <w:rsid w:val="00ED484A"/>
    <w:rsid w:val="00ED7F86"/>
    <w:rsid w:val="00ED7F8B"/>
    <w:rsid w:val="00EE155A"/>
    <w:rsid w:val="00EE74E7"/>
    <w:rsid w:val="00F27986"/>
    <w:rsid w:val="00F36478"/>
    <w:rsid w:val="00F52D64"/>
    <w:rsid w:val="00F64F88"/>
    <w:rsid w:val="00F81CD2"/>
    <w:rsid w:val="00F83822"/>
    <w:rsid w:val="00F94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597345">
      <w:bodyDiv w:val="1"/>
      <w:marLeft w:val="0"/>
      <w:marRight w:val="0"/>
      <w:marTop w:val="0"/>
      <w:marBottom w:val="0"/>
      <w:divBdr>
        <w:top w:val="none" w:sz="0" w:space="0" w:color="auto"/>
        <w:left w:val="none" w:sz="0" w:space="0" w:color="auto"/>
        <w:bottom w:val="none" w:sz="0" w:space="0" w:color="auto"/>
        <w:right w:val="none" w:sz="0" w:space="0" w:color="auto"/>
      </w:divBdr>
      <w:divsChild>
        <w:div w:id="1492864455">
          <w:marLeft w:val="0"/>
          <w:marRight w:val="0"/>
          <w:marTop w:val="0"/>
          <w:marBottom w:val="0"/>
          <w:divBdr>
            <w:top w:val="none" w:sz="0" w:space="0" w:color="auto"/>
            <w:left w:val="none" w:sz="0" w:space="0" w:color="auto"/>
            <w:bottom w:val="none" w:sz="0" w:space="0" w:color="auto"/>
            <w:right w:val="none" w:sz="0" w:space="0" w:color="auto"/>
          </w:divBdr>
          <w:divsChild>
            <w:div w:id="26562184">
              <w:marLeft w:val="0"/>
              <w:marRight w:val="0"/>
              <w:marTop w:val="0"/>
              <w:marBottom w:val="0"/>
              <w:divBdr>
                <w:top w:val="none" w:sz="0" w:space="0" w:color="auto"/>
                <w:left w:val="none" w:sz="0" w:space="0" w:color="auto"/>
                <w:bottom w:val="none" w:sz="0" w:space="0" w:color="auto"/>
                <w:right w:val="none" w:sz="0" w:space="0" w:color="auto"/>
              </w:divBdr>
              <w:divsChild>
                <w:div w:id="368527265">
                  <w:marLeft w:val="0"/>
                  <w:marRight w:val="0"/>
                  <w:marTop w:val="0"/>
                  <w:marBottom w:val="0"/>
                  <w:divBdr>
                    <w:top w:val="single" w:sz="6" w:space="31" w:color="BCBCBC"/>
                    <w:left w:val="single" w:sz="6" w:space="31" w:color="BCBCBC"/>
                    <w:bottom w:val="single" w:sz="6" w:space="15" w:color="BCBCBC"/>
                    <w:right w:val="single" w:sz="6" w:space="31" w:color="BCBCBC"/>
                  </w:divBdr>
                  <w:divsChild>
                    <w:div w:id="1688293085">
                      <w:marLeft w:val="0"/>
                      <w:marRight w:val="0"/>
                      <w:marTop w:val="0"/>
                      <w:marBottom w:val="0"/>
                      <w:divBdr>
                        <w:top w:val="none" w:sz="0" w:space="0" w:color="auto"/>
                        <w:left w:val="none" w:sz="0" w:space="0" w:color="auto"/>
                        <w:bottom w:val="none" w:sz="0" w:space="0" w:color="auto"/>
                        <w:right w:val="none" w:sz="0" w:space="0" w:color="auto"/>
                      </w:divBdr>
                      <w:divsChild>
                        <w:div w:id="88926557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746</Words>
  <Characters>4258</Characters>
  <Application>Microsoft Office Word</Application>
  <DocSecurity>0</DocSecurity>
  <Lines>35</Lines>
  <Paragraphs>9</Paragraphs>
  <ScaleCrop>false</ScaleCrop>
  <Company>HP Inc.</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yklgwsb@163.com</dc:creator>
  <cp:lastModifiedBy>yklgwsb@163.com</cp:lastModifiedBy>
  <cp:revision>1</cp:revision>
  <dcterms:created xsi:type="dcterms:W3CDTF">2020-07-01T02:20:00Z</dcterms:created>
  <dcterms:modified xsi:type="dcterms:W3CDTF">2020-07-01T02:21:00Z</dcterms:modified>
</cp:coreProperties>
</file>