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EC6F41" w:rsidRPr="00185817" w:rsidRDefault="001F25F9" w:rsidP="00185817">
      <w:pPr>
        <w:tabs>
          <w:tab w:val="left" w:pos="420"/>
          <w:tab w:val="center" w:pos="4422"/>
          <w:tab w:val="left" w:pos="7470"/>
        </w:tabs>
        <w:spacing w:line="740" w:lineRule="exact"/>
        <w:jc w:val="center"/>
        <w:rPr>
          <w:rFonts w:ascii="长城小标宋体" w:eastAsia="长城小标宋体" w:hAnsi="Times New Roman" w:cs="Times New Roman" w:hint="eastAsia"/>
          <w:color w:val="000000" w:themeColor="text1"/>
          <w:sz w:val="52"/>
          <w:szCs w:val="52"/>
        </w:rPr>
      </w:pPr>
      <w:r w:rsidRPr="00185817">
        <w:rPr>
          <w:rFonts w:ascii="长城小标宋体" w:eastAsia="长城小标宋体" w:hAnsi="Times New Roman" w:cs="Times New Roman" w:hint="eastAsia"/>
          <w:color w:val="000000" w:themeColor="text1"/>
          <w:sz w:val="52"/>
          <w:szCs w:val="52"/>
        </w:rPr>
        <w:t>关于如何做好营口理工学院</w:t>
      </w:r>
    </w:p>
    <w:p w:rsidR="001F25F9" w:rsidRPr="00185817" w:rsidRDefault="001F25F9" w:rsidP="00185817">
      <w:pPr>
        <w:tabs>
          <w:tab w:val="left" w:pos="420"/>
          <w:tab w:val="center" w:pos="4422"/>
          <w:tab w:val="left" w:pos="7470"/>
        </w:tabs>
        <w:spacing w:line="740" w:lineRule="exact"/>
        <w:jc w:val="center"/>
        <w:rPr>
          <w:rFonts w:ascii="长城小标宋体" w:eastAsia="长城小标宋体" w:hAnsi="Times New Roman" w:cs="Times New Roman" w:hint="eastAsia"/>
          <w:color w:val="000000" w:themeColor="text1"/>
          <w:sz w:val="52"/>
          <w:szCs w:val="52"/>
        </w:rPr>
      </w:pPr>
      <w:r w:rsidRPr="00185817">
        <w:rPr>
          <w:rFonts w:ascii="长城小标宋体" w:eastAsia="长城小标宋体" w:hAnsi="Times New Roman" w:cs="Times New Roman" w:hint="eastAsia"/>
          <w:color w:val="000000" w:themeColor="text1"/>
          <w:sz w:val="52"/>
          <w:szCs w:val="52"/>
        </w:rPr>
        <w:t>2016年招生工作的研究</w:t>
      </w:r>
    </w:p>
    <w:p w:rsidR="001F25F9" w:rsidRPr="00B14E30" w:rsidRDefault="001F25F9" w:rsidP="001F25F9">
      <w:pPr>
        <w:tabs>
          <w:tab w:val="left" w:pos="420"/>
          <w:tab w:val="center" w:pos="4422"/>
          <w:tab w:val="left" w:pos="7470"/>
        </w:tabs>
        <w:jc w:val="center"/>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AA755F" w:rsidRDefault="00AA755F"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AA755F" w:rsidRPr="00B14E30" w:rsidRDefault="00AA755F"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1F25F9"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p>
    <w:p w:rsidR="001F25F9" w:rsidRPr="00B14E30" w:rsidRDefault="00B16DB3" w:rsidP="001F25F9">
      <w:pPr>
        <w:tabs>
          <w:tab w:val="left" w:pos="420"/>
          <w:tab w:val="center" w:pos="4422"/>
          <w:tab w:val="left" w:pos="7470"/>
        </w:tabs>
        <w:jc w:val="left"/>
        <w:rPr>
          <w:rFonts w:ascii="长城小标宋体" w:eastAsia="长城小标宋体" w:hAnsi="Times New Roman" w:cs="Times New Roman"/>
          <w:color w:val="000000" w:themeColor="text1"/>
          <w:sz w:val="44"/>
          <w:szCs w:val="44"/>
        </w:rPr>
      </w:pPr>
      <w:r>
        <w:rPr>
          <w:rFonts w:ascii="长城小标宋体" w:eastAsia="长城小标宋体" w:hAnsi="Times New Roman" w:cs="Times New Roman" w:hint="eastAsia"/>
          <w:color w:val="000000" w:themeColor="text1"/>
          <w:sz w:val="44"/>
          <w:szCs w:val="44"/>
        </w:rPr>
        <w:t xml:space="preserve">               招生工作处</w:t>
      </w:r>
    </w:p>
    <w:p w:rsidR="001F25F9" w:rsidRDefault="001F25F9" w:rsidP="008423F7">
      <w:pPr>
        <w:tabs>
          <w:tab w:val="left" w:pos="420"/>
          <w:tab w:val="center" w:pos="4422"/>
          <w:tab w:val="left" w:pos="7470"/>
        </w:tabs>
        <w:jc w:val="center"/>
        <w:rPr>
          <w:rFonts w:ascii="黑体" w:eastAsia="黑体" w:hAnsi="Times New Roman" w:cs="Times New Roman"/>
          <w:color w:val="000000" w:themeColor="text1"/>
          <w:sz w:val="44"/>
          <w:szCs w:val="44"/>
        </w:rPr>
      </w:pPr>
      <w:r w:rsidRPr="00B14E30">
        <w:rPr>
          <w:rFonts w:ascii="黑体" w:eastAsia="黑体" w:hAnsi="Times New Roman" w:cs="Times New Roman" w:hint="eastAsia"/>
          <w:color w:val="000000" w:themeColor="text1"/>
          <w:sz w:val="44"/>
          <w:szCs w:val="44"/>
        </w:rPr>
        <w:t>2016年4月8日</w:t>
      </w:r>
    </w:p>
    <w:p w:rsidR="00AA755F" w:rsidRDefault="00AA755F" w:rsidP="008423F7">
      <w:pPr>
        <w:tabs>
          <w:tab w:val="left" w:pos="420"/>
          <w:tab w:val="center" w:pos="4422"/>
          <w:tab w:val="left" w:pos="7470"/>
        </w:tabs>
        <w:jc w:val="center"/>
        <w:rPr>
          <w:rFonts w:ascii="黑体" w:eastAsia="黑体" w:hAnsi="Times New Roman" w:cs="Times New Roman"/>
          <w:color w:val="000000" w:themeColor="text1"/>
          <w:sz w:val="44"/>
          <w:szCs w:val="44"/>
        </w:rPr>
      </w:pPr>
    </w:p>
    <w:p w:rsidR="00AA755F" w:rsidRDefault="00AA755F" w:rsidP="008423F7">
      <w:pPr>
        <w:tabs>
          <w:tab w:val="left" w:pos="420"/>
          <w:tab w:val="center" w:pos="4422"/>
          <w:tab w:val="left" w:pos="7470"/>
        </w:tabs>
        <w:jc w:val="center"/>
        <w:rPr>
          <w:rFonts w:ascii="黑体" w:eastAsia="黑体" w:hAnsi="Times New Roman" w:cs="Times New Roman"/>
          <w:color w:val="000000" w:themeColor="text1"/>
          <w:sz w:val="44"/>
          <w:szCs w:val="44"/>
        </w:rPr>
      </w:pPr>
    </w:p>
    <w:p w:rsidR="00AA755F" w:rsidRDefault="00AA755F" w:rsidP="008423F7">
      <w:pPr>
        <w:tabs>
          <w:tab w:val="left" w:pos="420"/>
          <w:tab w:val="center" w:pos="4422"/>
          <w:tab w:val="left" w:pos="7470"/>
        </w:tabs>
        <w:jc w:val="center"/>
        <w:rPr>
          <w:rFonts w:ascii="黑体" w:eastAsia="黑体" w:hAnsi="Times New Roman" w:cs="Times New Roman"/>
          <w:color w:val="000000" w:themeColor="text1"/>
          <w:sz w:val="44"/>
          <w:szCs w:val="44"/>
        </w:rPr>
      </w:pPr>
    </w:p>
    <w:p w:rsidR="00AA755F" w:rsidRPr="008423F7" w:rsidRDefault="00AA755F" w:rsidP="008423F7">
      <w:pPr>
        <w:tabs>
          <w:tab w:val="left" w:pos="420"/>
          <w:tab w:val="center" w:pos="4422"/>
          <w:tab w:val="left" w:pos="7470"/>
        </w:tabs>
        <w:jc w:val="center"/>
        <w:rPr>
          <w:rFonts w:ascii="黑体" w:eastAsia="黑体" w:hAnsi="Times New Roman" w:cs="Times New Roman"/>
          <w:color w:val="000000" w:themeColor="text1"/>
          <w:sz w:val="44"/>
          <w:szCs w:val="44"/>
        </w:rPr>
      </w:pPr>
    </w:p>
    <w:p w:rsidR="001F25F9" w:rsidRPr="00B14E30" w:rsidRDefault="003E5B9B" w:rsidP="008423F7">
      <w:pPr>
        <w:rPr>
          <w:rFonts w:ascii="Times New Roman" w:eastAsia="宋体" w:hAnsi="Times New Roman" w:cs="Times New Roman"/>
          <w:color w:val="000000" w:themeColor="text1"/>
          <w:szCs w:val="20"/>
        </w:rPr>
      </w:pPr>
      <w:hyperlink w:anchor="_Toc404277811" w:history="1">
        <w:r w:rsidR="001F25F9" w:rsidRPr="00B14E30">
          <w:rPr>
            <w:rFonts w:ascii="黑体" w:eastAsia="黑体" w:hAnsi="黑体" w:cs="Times New Roman" w:hint="eastAsia"/>
            <w:color w:val="000000" w:themeColor="text1"/>
            <w:sz w:val="44"/>
            <w:szCs w:val="44"/>
          </w:rPr>
          <w:t xml:space="preserve">目 录 </w:t>
        </w:r>
      </w:hyperlink>
      <w:r w:rsidR="008423F7">
        <w:rPr>
          <w:rFonts w:ascii="黑体" w:eastAsia="黑体" w:hAnsi="黑体" w:cs="Times New Roman" w:hint="eastAsia"/>
          <w:color w:val="000000" w:themeColor="text1"/>
          <w:sz w:val="44"/>
          <w:szCs w:val="44"/>
        </w:rPr>
        <w:t>C</w:t>
      </w:r>
      <w:r w:rsidR="008423F7" w:rsidRPr="008423F7">
        <w:rPr>
          <w:rFonts w:ascii="黑体" w:eastAsia="黑体" w:hAnsi="黑体" w:cs="Times New Roman" w:hint="eastAsia"/>
          <w:color w:val="000000" w:themeColor="text1"/>
          <w:sz w:val="44"/>
          <w:szCs w:val="44"/>
        </w:rPr>
        <w:t>atalog</w:t>
      </w:r>
      <w:r w:rsidR="008423F7">
        <w:rPr>
          <w:rFonts w:ascii="黑体" w:eastAsia="黑体" w:hAnsi="黑体" w:cs="Times New Roman" w:hint="eastAsia"/>
          <w:color w:val="000000" w:themeColor="text1"/>
          <w:sz w:val="44"/>
          <w:szCs w:val="44"/>
        </w:rPr>
        <w:t>ue</w:t>
      </w:r>
    </w:p>
    <w:p w:rsidR="001F25F9" w:rsidRPr="00B14E30" w:rsidRDefault="003E5B9B" w:rsidP="009C0AE8">
      <w:pPr>
        <w:spacing w:line="500" w:lineRule="exact"/>
        <w:jc w:val="center"/>
        <w:rPr>
          <w:rFonts w:ascii="仿宋_GB2312" w:eastAsia="仿宋_GB2312" w:hAnsi="Times New Roman" w:cs="Times New Roman"/>
          <w:color w:val="000000" w:themeColor="text1"/>
          <w:sz w:val="32"/>
          <w:szCs w:val="32"/>
        </w:rPr>
      </w:pPr>
      <w:hyperlink w:anchor="_Toc404277812" w:history="1">
        <w:r w:rsidR="001F25F9" w:rsidRPr="00B14E30">
          <w:rPr>
            <w:rFonts w:ascii="长城小标宋体" w:eastAsia="长城小标宋体" w:hAnsi="黑体" w:cs="Times New Roman"/>
            <w:b/>
            <w:noProof/>
            <w:color w:val="000000" w:themeColor="text1"/>
            <w:sz w:val="44"/>
            <w:szCs w:val="44"/>
          </w:rPr>
          <w:drawing>
            <wp:inline distT="0" distB="0" distL="0" distR="0">
              <wp:extent cx="5667375" cy="129345"/>
              <wp:effectExtent l="0" t="0" r="0" b="4445"/>
              <wp:docPr id="17" name="图片 17" descr="1235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2354645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4795" cy="149598"/>
                      </a:xfrm>
                      <a:prstGeom prst="rect">
                        <a:avLst/>
                      </a:prstGeom>
                      <a:noFill/>
                      <a:ln>
                        <a:noFill/>
                      </a:ln>
                    </pic:spPr>
                  </pic:pic>
                </a:graphicData>
              </a:graphic>
            </wp:inline>
          </w:drawing>
        </w:r>
      </w:hyperlink>
      <w:r w:rsidR="001F25F9" w:rsidRPr="008423F7">
        <w:rPr>
          <w:rFonts w:ascii="黑体" w:eastAsia="黑体" w:hAnsi="黑体" w:cs="Times New Roman" w:hint="eastAsia"/>
          <w:color w:val="000000" w:themeColor="text1"/>
          <w:sz w:val="32"/>
          <w:szCs w:val="32"/>
        </w:rPr>
        <w:t>一、2015年招生录取工作情况</w:t>
      </w:r>
      <w:r w:rsidR="001F25F9" w:rsidRPr="00B14E30">
        <w:rPr>
          <w:rFonts w:ascii="仿宋_GB2312" w:eastAsia="仿宋_GB2312" w:hAnsi="Times New Roman" w:cs="Times New Roman" w:hint="eastAsia"/>
          <w:color w:val="000000" w:themeColor="text1"/>
          <w:sz w:val="32"/>
          <w:szCs w:val="32"/>
        </w:rPr>
        <w:t>……………</w:t>
      </w:r>
      <w:r w:rsidR="0088115E" w:rsidRPr="00B14E30">
        <w:rPr>
          <w:rFonts w:ascii="仿宋_GB2312" w:eastAsia="仿宋_GB2312" w:hAnsi="Times New Roman" w:cs="Times New Roman" w:hint="eastAsia"/>
          <w:color w:val="000000" w:themeColor="text1"/>
          <w:sz w:val="32"/>
          <w:szCs w:val="32"/>
        </w:rPr>
        <w:t>………</w:t>
      </w:r>
      <w:r w:rsidR="001F25F9" w:rsidRPr="00B14E30">
        <w:rPr>
          <w:rFonts w:ascii="仿宋_GB2312" w:eastAsia="仿宋_GB2312" w:hAnsi="Times New Roman" w:cs="Times New Roman" w:hint="eastAsia"/>
          <w:color w:val="000000" w:themeColor="text1"/>
          <w:sz w:val="32"/>
          <w:szCs w:val="32"/>
        </w:rPr>
        <w:t>………………1</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（一）2015年招生计划基本情况……………………1</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（二）2015年招生录取情况分析……………………2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1．分省区录取基本情况分析………………………2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2．分专业录取基本情况分析………………………</w:t>
      </w:r>
      <w:r w:rsidR="00812405" w:rsidRPr="00B14E30">
        <w:rPr>
          <w:rFonts w:ascii="仿宋_GB2312" w:eastAsia="仿宋_GB2312" w:hAnsi="Times New Roman" w:cs="Times New Roman" w:hint="eastAsia"/>
          <w:color w:val="000000" w:themeColor="text1"/>
          <w:sz w:val="32"/>
          <w:szCs w:val="32"/>
        </w:rPr>
        <w:t>3</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3．各省区各分数段情况分析………………………</w:t>
      </w:r>
      <w:r w:rsidR="00812405" w:rsidRPr="00B14E30">
        <w:rPr>
          <w:rFonts w:ascii="仿宋_GB2312" w:eastAsia="仿宋_GB2312" w:hAnsi="Times New Roman" w:cs="Times New Roman" w:hint="eastAsia"/>
          <w:color w:val="000000" w:themeColor="text1"/>
          <w:sz w:val="32"/>
          <w:szCs w:val="32"/>
        </w:rPr>
        <w:t>5</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4．各专业第一志愿情况分析………………………</w:t>
      </w:r>
      <w:r w:rsidR="00812405" w:rsidRPr="00B14E30">
        <w:rPr>
          <w:rFonts w:ascii="仿宋_GB2312" w:eastAsia="仿宋_GB2312" w:hAnsi="Times New Roman" w:cs="Times New Roman" w:hint="eastAsia"/>
          <w:color w:val="000000" w:themeColor="text1"/>
          <w:sz w:val="32"/>
          <w:szCs w:val="32"/>
        </w:rPr>
        <w:t>9</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5</w:t>
      </w:r>
      <w:r w:rsidR="00812405" w:rsidRPr="00B14E30">
        <w:rPr>
          <w:rFonts w:ascii="仿宋_GB2312" w:eastAsia="仿宋_GB2312" w:hAnsi="Times New Roman" w:cs="Times New Roman" w:hint="eastAsia"/>
          <w:color w:val="000000" w:themeColor="text1"/>
          <w:sz w:val="32"/>
          <w:szCs w:val="32"/>
        </w:rPr>
        <w:t>．生源自然情况分析…………………………</w:t>
      </w:r>
      <w:r w:rsidRPr="00B14E30">
        <w:rPr>
          <w:rFonts w:ascii="仿宋_GB2312" w:eastAsia="仿宋_GB2312" w:hAnsi="Times New Roman" w:cs="Times New Roman" w:hint="eastAsia"/>
          <w:color w:val="000000" w:themeColor="text1"/>
          <w:sz w:val="32"/>
          <w:szCs w:val="32"/>
        </w:rPr>
        <w:t>…</w:t>
      </w:r>
      <w:r w:rsidR="00812405" w:rsidRPr="00B14E30">
        <w:rPr>
          <w:rFonts w:ascii="仿宋_GB2312" w:eastAsia="仿宋_GB2312" w:hAnsi="Times New Roman" w:cs="Times New Roman" w:hint="eastAsia"/>
          <w:color w:val="000000" w:themeColor="text1"/>
          <w:sz w:val="32"/>
          <w:szCs w:val="32"/>
        </w:rPr>
        <w:t>10</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6</w:t>
      </w:r>
      <w:r w:rsidR="00812405" w:rsidRPr="00B14E30">
        <w:rPr>
          <w:rFonts w:ascii="仿宋_GB2312" w:eastAsia="仿宋_GB2312" w:hAnsi="Times New Roman" w:cs="Times New Roman" w:hint="eastAsia"/>
          <w:color w:val="000000" w:themeColor="text1"/>
          <w:sz w:val="32"/>
          <w:szCs w:val="32"/>
        </w:rPr>
        <w:t>．辽宁省生源分布情况分析……………………12</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（三）历年招生录取情况对比分析…………………1</w:t>
      </w:r>
      <w:r w:rsidR="00812405" w:rsidRPr="00B14E30">
        <w:rPr>
          <w:rFonts w:ascii="仿宋_GB2312" w:eastAsia="仿宋_GB2312" w:hAnsi="Times New Roman" w:cs="Times New Roman" w:hint="eastAsia"/>
          <w:color w:val="000000" w:themeColor="text1"/>
          <w:sz w:val="32"/>
          <w:szCs w:val="32"/>
        </w:rPr>
        <w:t>4</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1．历年各省区标准分数对比分析……………1</w:t>
      </w:r>
      <w:r w:rsidR="00812405" w:rsidRPr="00B14E30">
        <w:rPr>
          <w:rFonts w:ascii="仿宋_GB2312" w:eastAsia="仿宋_GB2312" w:hAnsi="Times New Roman" w:cs="Times New Roman" w:hint="eastAsia"/>
          <w:color w:val="000000" w:themeColor="text1"/>
          <w:sz w:val="32"/>
          <w:szCs w:val="32"/>
        </w:rPr>
        <w:t>4</w:t>
      </w:r>
    </w:p>
    <w:p w:rsidR="001F25F9" w:rsidRPr="00B14E30" w:rsidRDefault="001F25F9" w:rsidP="001F25F9">
      <w:pPr>
        <w:spacing w:line="500" w:lineRule="exact"/>
        <w:ind w:leftChars="808" w:left="2180" w:hangingChars="151" w:hanging="483"/>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2．历年平均分与控制线分差对比分析………1</w:t>
      </w:r>
      <w:r w:rsidR="00812405" w:rsidRPr="00B14E30">
        <w:rPr>
          <w:rFonts w:ascii="仿宋_GB2312" w:eastAsia="仿宋_GB2312" w:hAnsi="Times New Roman" w:cs="Times New Roman" w:hint="eastAsia"/>
          <w:color w:val="000000" w:themeColor="text1"/>
          <w:sz w:val="32"/>
          <w:szCs w:val="32"/>
        </w:rPr>
        <w:t>6</w:t>
      </w:r>
    </w:p>
    <w:p w:rsidR="001F25F9" w:rsidRPr="00B14E30" w:rsidRDefault="001F25F9" w:rsidP="001F25F9">
      <w:pPr>
        <w:spacing w:line="500" w:lineRule="exact"/>
        <w:ind w:leftChars="808" w:left="2180" w:hangingChars="151" w:hanging="483"/>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3．历年辽宁省各分数段人数比例对比分析…</w:t>
      </w:r>
      <w:r w:rsidR="00812405" w:rsidRPr="00B14E30">
        <w:rPr>
          <w:rFonts w:ascii="仿宋_GB2312" w:eastAsia="仿宋_GB2312" w:hAnsi="Times New Roman" w:cs="Times New Roman" w:hint="eastAsia"/>
          <w:color w:val="000000" w:themeColor="text1"/>
          <w:sz w:val="32"/>
          <w:szCs w:val="32"/>
        </w:rPr>
        <w:t>1</w:t>
      </w:r>
      <w:r w:rsidR="00AF276E" w:rsidRPr="00B14E30">
        <w:rPr>
          <w:rFonts w:ascii="仿宋_GB2312" w:eastAsia="仿宋_GB2312" w:hAnsi="Times New Roman" w:cs="Times New Roman" w:hint="eastAsia"/>
          <w:color w:val="000000" w:themeColor="text1"/>
          <w:sz w:val="32"/>
          <w:szCs w:val="32"/>
        </w:rPr>
        <w:t>8</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（四）2015年招生录取总体情况分析…………………2</w:t>
      </w:r>
      <w:r w:rsidR="00812405" w:rsidRPr="00B14E30">
        <w:rPr>
          <w:rFonts w:ascii="仿宋_GB2312" w:eastAsia="仿宋_GB2312" w:hAnsi="Times New Roman" w:cs="Times New Roman" w:hint="eastAsia"/>
          <w:color w:val="000000" w:themeColor="text1"/>
          <w:sz w:val="32"/>
          <w:szCs w:val="32"/>
        </w:rPr>
        <w:t>0</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1．省内总体情况分析……………………………</w:t>
      </w:r>
      <w:r w:rsidR="00812405" w:rsidRPr="00B14E30">
        <w:rPr>
          <w:rFonts w:ascii="仿宋_GB2312" w:eastAsia="仿宋_GB2312" w:hAnsi="Times New Roman" w:cs="Times New Roman" w:hint="eastAsia"/>
          <w:color w:val="000000" w:themeColor="text1"/>
          <w:sz w:val="32"/>
          <w:szCs w:val="32"/>
        </w:rPr>
        <w:t>20</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2．省外总体情况分析……………………………</w:t>
      </w:r>
      <w:r w:rsidR="00812405" w:rsidRPr="00B14E30">
        <w:rPr>
          <w:rFonts w:ascii="仿宋_GB2312" w:eastAsia="仿宋_GB2312" w:hAnsi="Times New Roman" w:cs="Times New Roman" w:hint="eastAsia"/>
          <w:color w:val="000000" w:themeColor="text1"/>
          <w:sz w:val="32"/>
          <w:szCs w:val="32"/>
        </w:rPr>
        <w:t>21</w:t>
      </w:r>
    </w:p>
    <w:p w:rsidR="001F25F9" w:rsidRPr="00B14E30" w:rsidRDefault="001F25F9" w:rsidP="001F25F9">
      <w:pPr>
        <w:spacing w:line="500" w:lineRule="exact"/>
        <w:jc w:val="distribute"/>
        <w:rPr>
          <w:rFonts w:ascii="仿宋_GB2312" w:eastAsia="仿宋_GB2312" w:hAnsi="宋体" w:cs="Times New Roman"/>
          <w:color w:val="000000" w:themeColor="text1"/>
          <w:sz w:val="32"/>
          <w:szCs w:val="32"/>
        </w:rPr>
      </w:pPr>
      <w:r w:rsidRPr="008423F7">
        <w:rPr>
          <w:rFonts w:ascii="黑体" w:eastAsia="黑体" w:hAnsi="黑体" w:cs="Times New Roman" w:hint="eastAsia"/>
          <w:color w:val="000000" w:themeColor="text1"/>
          <w:sz w:val="32"/>
          <w:szCs w:val="32"/>
        </w:rPr>
        <w:t>二、2016年招生工作探索</w:t>
      </w:r>
      <w:r w:rsidRPr="00B14E30">
        <w:rPr>
          <w:rFonts w:ascii="仿宋_GB2312" w:eastAsia="仿宋_GB2312" w:hAnsi="Times New Roman" w:cs="Times New Roman" w:hint="eastAsia"/>
          <w:color w:val="000000" w:themeColor="text1"/>
          <w:sz w:val="32"/>
          <w:szCs w:val="32"/>
        </w:rPr>
        <w:t>……………………………………</w:t>
      </w:r>
      <w:r w:rsidR="00812405" w:rsidRPr="00B14E30">
        <w:rPr>
          <w:rFonts w:ascii="仿宋_GB2312" w:eastAsia="仿宋_GB2312" w:hAnsi="Times New Roman" w:cs="Times New Roman" w:hint="eastAsia"/>
          <w:color w:val="000000" w:themeColor="text1"/>
          <w:sz w:val="32"/>
          <w:szCs w:val="32"/>
        </w:rPr>
        <w:t>2</w:t>
      </w:r>
      <w:r w:rsidR="00AF276E" w:rsidRPr="00B14E30">
        <w:rPr>
          <w:rFonts w:ascii="仿宋_GB2312" w:eastAsia="仿宋_GB2312" w:hAnsi="Times New Roman" w:cs="Times New Roman" w:hint="eastAsia"/>
          <w:color w:val="000000" w:themeColor="text1"/>
          <w:sz w:val="32"/>
          <w:szCs w:val="32"/>
        </w:rPr>
        <w:t>1</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t>（一）学院招生宣传效率研究分析</w:t>
      </w:r>
      <w:r w:rsidRPr="00B14E30">
        <w:rPr>
          <w:rFonts w:ascii="仿宋_GB2312" w:eastAsia="仿宋_GB2312" w:hAnsi="Times New Roman" w:cs="Times New Roman" w:hint="eastAsia"/>
          <w:color w:val="000000" w:themeColor="text1"/>
          <w:sz w:val="32"/>
          <w:szCs w:val="32"/>
        </w:rPr>
        <w:t>……………………2</w:t>
      </w:r>
      <w:r w:rsidR="00812405" w:rsidRPr="00B14E30">
        <w:rPr>
          <w:rFonts w:ascii="仿宋_GB2312" w:eastAsia="仿宋_GB2312" w:hAnsi="Times New Roman" w:cs="Times New Roman" w:hint="eastAsia"/>
          <w:color w:val="000000" w:themeColor="text1"/>
          <w:sz w:val="32"/>
          <w:szCs w:val="32"/>
        </w:rPr>
        <w:t>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1．招生宣传</w:t>
      </w:r>
      <w:r w:rsidR="006C7185" w:rsidRPr="00B14E30">
        <w:rPr>
          <w:rFonts w:ascii="仿宋_GB2312" w:eastAsia="仿宋_GB2312" w:hAnsi="Times New Roman" w:cs="Times New Roman" w:hint="eastAsia"/>
          <w:color w:val="000000" w:themeColor="text1"/>
          <w:sz w:val="32"/>
          <w:szCs w:val="32"/>
        </w:rPr>
        <w:t>媒体问卷</w:t>
      </w:r>
      <w:r w:rsidRPr="00B14E30">
        <w:rPr>
          <w:rFonts w:ascii="仿宋_GB2312" w:eastAsia="仿宋_GB2312" w:hAnsi="Times New Roman" w:cs="Times New Roman" w:hint="eastAsia"/>
          <w:color w:val="000000" w:themeColor="text1"/>
          <w:sz w:val="32"/>
          <w:szCs w:val="32"/>
        </w:rPr>
        <w:t>调查分析</w:t>
      </w:r>
      <w:r w:rsidR="006C7185"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………2</w:t>
      </w:r>
      <w:r w:rsidR="00812405" w:rsidRPr="00B14E30">
        <w:rPr>
          <w:rFonts w:ascii="仿宋_GB2312" w:eastAsia="仿宋_GB2312" w:hAnsi="Times New Roman" w:cs="Times New Roman" w:hint="eastAsia"/>
          <w:color w:val="000000" w:themeColor="text1"/>
          <w:sz w:val="32"/>
          <w:szCs w:val="32"/>
        </w:rPr>
        <w:t>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2．历年省内生源来源情况分析…………………2</w:t>
      </w:r>
      <w:r w:rsidR="00812405" w:rsidRPr="00B14E30">
        <w:rPr>
          <w:rFonts w:ascii="仿宋_GB2312" w:eastAsia="仿宋_GB2312" w:hAnsi="Times New Roman" w:cs="Times New Roman" w:hint="eastAsia"/>
          <w:color w:val="000000" w:themeColor="text1"/>
          <w:sz w:val="32"/>
          <w:szCs w:val="32"/>
        </w:rPr>
        <w:t>8</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t>（二）2016年分省分专业计划编制研究分析</w:t>
      </w:r>
      <w:r w:rsidRPr="00B14E30">
        <w:rPr>
          <w:rFonts w:ascii="仿宋_GB2312" w:eastAsia="仿宋_GB2312" w:hAnsi="Times New Roman" w:cs="Times New Roman" w:hint="eastAsia"/>
          <w:color w:val="000000" w:themeColor="text1"/>
          <w:sz w:val="32"/>
          <w:szCs w:val="32"/>
        </w:rPr>
        <w:t>…………4</w:t>
      </w:r>
      <w:r w:rsidR="00AF276E" w:rsidRPr="00B14E30">
        <w:rPr>
          <w:rFonts w:ascii="仿宋_GB2312" w:eastAsia="仿宋_GB2312" w:hAnsi="Times New Roman" w:cs="Times New Roman" w:hint="eastAsia"/>
          <w:color w:val="000000" w:themeColor="text1"/>
          <w:sz w:val="32"/>
          <w:szCs w:val="32"/>
        </w:rPr>
        <w:t>0</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1．历年新生报到情况分析………………………</w:t>
      </w:r>
      <w:r w:rsidR="00812405" w:rsidRPr="00B14E30">
        <w:rPr>
          <w:rFonts w:ascii="仿宋_GB2312" w:eastAsia="仿宋_GB2312" w:hAnsi="Times New Roman" w:cs="Times New Roman" w:hint="eastAsia"/>
          <w:color w:val="000000" w:themeColor="text1"/>
          <w:sz w:val="32"/>
          <w:szCs w:val="32"/>
        </w:rPr>
        <w:t>41</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 2016年分省分专业计划编制分析……………4</w:t>
      </w:r>
      <w:r w:rsidR="00AF276E" w:rsidRPr="00B14E30">
        <w:rPr>
          <w:rFonts w:ascii="仿宋_GB2312" w:eastAsia="仿宋_GB2312" w:hAnsi="Times New Roman" w:cs="Times New Roman" w:hint="eastAsia"/>
          <w:color w:val="000000" w:themeColor="text1"/>
          <w:sz w:val="32"/>
          <w:szCs w:val="32"/>
        </w:rPr>
        <w:t>6</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lastRenderedPageBreak/>
        <w:t>（三）2016年辽宁省高考改革影响情况分析</w:t>
      </w:r>
      <w:r w:rsidR="00812405"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………5</w:t>
      </w:r>
      <w:r w:rsidR="00AF276E" w:rsidRPr="00B14E30">
        <w:rPr>
          <w:rFonts w:ascii="仿宋_GB2312" w:eastAsia="仿宋_GB2312" w:hAnsi="Times New Roman" w:cs="Times New Roman" w:hint="eastAsia"/>
          <w:color w:val="000000" w:themeColor="text1"/>
          <w:sz w:val="32"/>
          <w:szCs w:val="32"/>
        </w:rPr>
        <w:t>6</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1．录取批次调整的背景……………………</w:t>
      </w:r>
      <w:r w:rsidR="00812405" w:rsidRPr="00B14E30">
        <w:rPr>
          <w:rFonts w:ascii="仿宋_GB2312" w:eastAsia="仿宋_GB2312" w:hAnsi="Times New Roman" w:cs="Times New Roman" w:hint="eastAsia"/>
          <w:color w:val="000000" w:themeColor="text1"/>
          <w:sz w:val="32"/>
          <w:szCs w:val="32"/>
        </w:rPr>
        <w:t>……57</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2．录取批次调整后对我院招生工作的影响……</w:t>
      </w:r>
      <w:r w:rsidR="00812405" w:rsidRPr="00B14E30">
        <w:rPr>
          <w:rFonts w:ascii="仿宋_GB2312" w:eastAsia="仿宋_GB2312" w:hAnsi="Times New Roman" w:cs="Times New Roman" w:hint="eastAsia"/>
          <w:color w:val="000000" w:themeColor="text1"/>
          <w:sz w:val="32"/>
          <w:szCs w:val="32"/>
        </w:rPr>
        <w:t>5</w:t>
      </w:r>
      <w:r w:rsidR="00AF276E" w:rsidRPr="00B14E30">
        <w:rPr>
          <w:rFonts w:ascii="仿宋_GB2312" w:eastAsia="仿宋_GB2312" w:hAnsi="Times New Roman" w:cs="Times New Roman" w:hint="eastAsia"/>
          <w:color w:val="000000" w:themeColor="text1"/>
          <w:sz w:val="32"/>
          <w:szCs w:val="32"/>
        </w:rPr>
        <w:t>8</w:t>
      </w:r>
    </w:p>
    <w:p w:rsidR="001F25F9" w:rsidRPr="00B14E30" w:rsidRDefault="001F25F9" w:rsidP="001F25F9">
      <w:pPr>
        <w:spacing w:line="500" w:lineRule="exact"/>
        <w:jc w:val="distribute"/>
        <w:rPr>
          <w:rFonts w:ascii="仿宋_GB2312" w:eastAsia="仿宋_GB2312" w:hAnsi="Times New Roman" w:cs="Times New Roman"/>
          <w:color w:val="000000" w:themeColor="text1"/>
          <w:sz w:val="32"/>
          <w:szCs w:val="32"/>
        </w:rPr>
      </w:pPr>
      <w:r w:rsidRPr="008423F7">
        <w:rPr>
          <w:rFonts w:ascii="黑体" w:eastAsia="黑体" w:hAnsi="黑体" w:cs="Times New Roman" w:hint="eastAsia"/>
          <w:color w:val="000000" w:themeColor="text1"/>
          <w:sz w:val="32"/>
          <w:szCs w:val="32"/>
        </w:rPr>
        <w:t>三、研究结论</w:t>
      </w:r>
      <w:r w:rsidRPr="00B14E30">
        <w:rPr>
          <w:rFonts w:ascii="仿宋_GB2312" w:eastAsia="仿宋_GB2312" w:hAnsi="Times New Roman" w:cs="Times New Roman" w:hint="eastAsia"/>
          <w:color w:val="000000" w:themeColor="text1"/>
          <w:sz w:val="32"/>
          <w:szCs w:val="32"/>
        </w:rPr>
        <w:t>……………………………………………………</w:t>
      </w:r>
      <w:r w:rsidR="00AF276E" w:rsidRPr="00B14E30">
        <w:rPr>
          <w:rFonts w:ascii="仿宋_GB2312" w:eastAsia="仿宋_GB2312" w:hAnsi="Times New Roman" w:cs="Times New Roman" w:hint="eastAsia"/>
          <w:color w:val="000000" w:themeColor="text1"/>
          <w:sz w:val="32"/>
          <w:szCs w:val="32"/>
        </w:rPr>
        <w:t>59</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t>（一）招生宣传方面</w:t>
      </w:r>
      <w:r w:rsidRPr="00B14E30">
        <w:rPr>
          <w:rFonts w:ascii="仿宋_GB2312" w:eastAsia="仿宋_GB2312" w:hAnsi="Times New Roman" w:cs="Times New Roman" w:hint="eastAsia"/>
          <w:color w:val="000000" w:themeColor="text1"/>
          <w:sz w:val="32"/>
          <w:szCs w:val="32"/>
        </w:rPr>
        <w:t>………………………………………</w:t>
      </w:r>
      <w:r w:rsidR="00AF276E" w:rsidRPr="00B14E30">
        <w:rPr>
          <w:rFonts w:ascii="仿宋_GB2312" w:eastAsia="仿宋_GB2312" w:hAnsi="Times New Roman" w:cs="Times New Roman" w:hint="eastAsia"/>
          <w:color w:val="000000" w:themeColor="text1"/>
          <w:sz w:val="32"/>
          <w:szCs w:val="32"/>
        </w:rPr>
        <w:t>59</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1．宣传媒体的选择………………………………</w:t>
      </w:r>
      <w:r w:rsidR="00AF276E" w:rsidRPr="00B14E30">
        <w:rPr>
          <w:rFonts w:ascii="仿宋_GB2312" w:eastAsia="仿宋_GB2312" w:hAnsi="Times New Roman" w:cs="Times New Roman" w:hint="eastAsia"/>
          <w:color w:val="000000" w:themeColor="text1"/>
          <w:sz w:val="32"/>
          <w:szCs w:val="32"/>
        </w:rPr>
        <w:t>59</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仿宋" w:cs="Times New Roman" w:hint="eastAsia"/>
          <w:color w:val="000000" w:themeColor="text1"/>
          <w:sz w:val="32"/>
          <w:szCs w:val="32"/>
        </w:rPr>
        <w:t>2．宣传区域的选择</w:t>
      </w:r>
      <w:r w:rsidRPr="00B14E30">
        <w:rPr>
          <w:rFonts w:ascii="仿宋_GB2312" w:eastAsia="仿宋_GB2312" w:hAnsi="Times New Roman" w:cs="Times New Roman" w:hint="eastAsia"/>
          <w:color w:val="000000" w:themeColor="text1"/>
          <w:sz w:val="32"/>
          <w:szCs w:val="32"/>
        </w:rPr>
        <w:t>………………………………6</w:t>
      </w:r>
      <w:r w:rsidR="00AF276E" w:rsidRPr="00B14E30">
        <w:rPr>
          <w:rFonts w:ascii="仿宋_GB2312" w:eastAsia="仿宋_GB2312" w:hAnsi="Times New Roman" w:cs="Times New Roman" w:hint="eastAsia"/>
          <w:color w:val="000000" w:themeColor="text1"/>
          <w:sz w:val="32"/>
          <w:szCs w:val="32"/>
        </w:rPr>
        <w:t>1</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t>（二）招生计划编制方面</w:t>
      </w:r>
      <w:r w:rsidRPr="00B14E30">
        <w:rPr>
          <w:rFonts w:ascii="仿宋_GB2312" w:eastAsia="仿宋_GB2312" w:hAnsi="Times New Roman" w:cs="Times New Roman" w:hint="eastAsia"/>
          <w:color w:val="000000" w:themeColor="text1"/>
          <w:sz w:val="32"/>
          <w:szCs w:val="32"/>
        </w:rPr>
        <w:t>…………………………………6</w:t>
      </w:r>
      <w:r w:rsidR="00AF276E" w:rsidRPr="00B14E30">
        <w:rPr>
          <w:rFonts w:ascii="仿宋_GB2312" w:eastAsia="仿宋_GB2312" w:hAnsi="Times New Roman" w:cs="Times New Roman" w:hint="eastAsia"/>
          <w:color w:val="000000" w:themeColor="text1"/>
          <w:sz w:val="32"/>
          <w:szCs w:val="32"/>
        </w:rPr>
        <w:t>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1．加大优质生源省区的投放计划………………6</w:t>
      </w:r>
      <w:r w:rsidR="00AF276E" w:rsidRPr="00B14E30">
        <w:rPr>
          <w:rFonts w:ascii="仿宋_GB2312" w:eastAsia="仿宋_GB2312" w:hAnsi="Times New Roman" w:cs="Times New Roman" w:hint="eastAsia"/>
          <w:color w:val="000000" w:themeColor="text1"/>
          <w:sz w:val="32"/>
          <w:szCs w:val="32"/>
        </w:rPr>
        <w:t>2</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2．减少民族聚集省区的投放计划………………6</w:t>
      </w:r>
      <w:r w:rsidR="007A1969" w:rsidRPr="00B14E30">
        <w:rPr>
          <w:rFonts w:ascii="仿宋_GB2312" w:eastAsia="仿宋_GB2312" w:hAnsi="Times New Roman" w:cs="Times New Roman" w:hint="eastAsia"/>
          <w:color w:val="000000" w:themeColor="text1"/>
          <w:sz w:val="32"/>
          <w:szCs w:val="32"/>
        </w:rPr>
        <w:t>3</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3．合理分配冷、热门专业………………………6</w:t>
      </w:r>
      <w:r w:rsidR="007A1969" w:rsidRPr="00B14E30">
        <w:rPr>
          <w:rFonts w:ascii="仿宋_GB2312" w:eastAsia="仿宋_GB2312" w:hAnsi="Times New Roman" w:cs="Times New Roman" w:hint="eastAsia"/>
          <w:color w:val="000000" w:themeColor="text1"/>
          <w:sz w:val="32"/>
          <w:szCs w:val="32"/>
        </w:rPr>
        <w:t>3</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Calibri" w:cs="仿宋_GB2312" w:hint="eastAsia"/>
          <w:color w:val="000000" w:themeColor="text1"/>
          <w:kern w:val="0"/>
          <w:sz w:val="32"/>
          <w:szCs w:val="32"/>
        </w:rPr>
        <w:t>4．不宜新增</w:t>
      </w:r>
      <w:r w:rsidR="002A2DD2">
        <w:rPr>
          <w:rFonts w:ascii="仿宋_GB2312" w:eastAsia="仿宋_GB2312" w:hAnsi="Calibri" w:cs="仿宋_GB2312" w:hint="eastAsia"/>
          <w:color w:val="000000" w:themeColor="text1"/>
          <w:kern w:val="0"/>
          <w:sz w:val="32"/>
          <w:szCs w:val="32"/>
        </w:rPr>
        <w:t>计划</w:t>
      </w:r>
      <w:r w:rsidRPr="00B14E30">
        <w:rPr>
          <w:rFonts w:ascii="仿宋_GB2312" w:eastAsia="仿宋_GB2312" w:hAnsi="Calibri" w:cs="仿宋_GB2312" w:hint="eastAsia"/>
          <w:color w:val="000000" w:themeColor="text1"/>
          <w:kern w:val="0"/>
          <w:sz w:val="32"/>
          <w:szCs w:val="32"/>
        </w:rPr>
        <w:t>投放省区</w:t>
      </w:r>
      <w:r w:rsidR="002A2DD2">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…………………6</w:t>
      </w:r>
      <w:r w:rsidR="00AF276E" w:rsidRPr="00B14E30">
        <w:rPr>
          <w:rFonts w:ascii="仿宋_GB2312" w:eastAsia="仿宋_GB2312" w:hAnsi="Times New Roman" w:cs="Times New Roman" w:hint="eastAsia"/>
          <w:color w:val="000000" w:themeColor="text1"/>
          <w:sz w:val="32"/>
          <w:szCs w:val="32"/>
        </w:rPr>
        <w:t>3</w:t>
      </w:r>
    </w:p>
    <w:p w:rsidR="001F25F9" w:rsidRPr="00B14E30" w:rsidRDefault="001F25F9" w:rsidP="001F25F9">
      <w:pPr>
        <w:spacing w:line="500" w:lineRule="exact"/>
        <w:ind w:firstLineChars="200" w:firstLine="640"/>
        <w:jc w:val="distribute"/>
        <w:rPr>
          <w:rFonts w:ascii="仿宋_GB2312" w:eastAsia="仿宋_GB2312" w:hAnsi="Times New Roman" w:cs="Times New Roman"/>
          <w:color w:val="000000" w:themeColor="text1"/>
          <w:sz w:val="32"/>
          <w:szCs w:val="32"/>
        </w:rPr>
      </w:pPr>
      <w:r w:rsidRPr="00B14E30">
        <w:rPr>
          <w:rFonts w:ascii="仿宋_GB2312" w:eastAsia="仿宋_GB2312" w:hAnsi="宋体" w:cs="Times New Roman" w:hint="eastAsia"/>
          <w:color w:val="000000" w:themeColor="text1"/>
          <w:sz w:val="32"/>
          <w:szCs w:val="32"/>
        </w:rPr>
        <w:t>（三）应对高考改革影响方面</w:t>
      </w:r>
      <w:r w:rsidRPr="00B14E30">
        <w:rPr>
          <w:rFonts w:ascii="仿宋_GB2312" w:eastAsia="仿宋_GB2312" w:hAnsi="Times New Roman" w:cs="Times New Roman" w:hint="eastAsia"/>
          <w:color w:val="000000" w:themeColor="text1"/>
          <w:sz w:val="32"/>
          <w:szCs w:val="32"/>
        </w:rPr>
        <w:t>…………………………</w:t>
      </w:r>
      <w:r w:rsidR="003E5B9B" w:rsidRPr="003E5B9B">
        <w:rPr>
          <w:rFonts w:ascii="宋体" w:eastAsia="宋体" w:hAnsi="宋体" w:cs="宋体"/>
          <w:noProof/>
          <w:color w:val="000000" w:themeColor="text1"/>
          <w:kern w:val="0"/>
          <w:sz w:val="24"/>
          <w:szCs w:val="24"/>
        </w:rPr>
        <w:pict>
          <v:rect id="矩形 34" o:spid="_x0000_s1026" style="position:absolute;left:0;text-align:left;margin-left:431.25pt;margin-top:595.1pt;width:72.75pt;height:21.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" fillcolor="#4f81bd" strokeweight=".5pt">
            <v:shadow on="t" color="#243f60" opacity=".5" offset="1pt"/>
          </v:rect>
        </w:pict>
      </w:r>
      <w:r w:rsidR="003E5B9B" w:rsidRPr="003E5B9B">
        <w:rPr>
          <w:rFonts w:ascii="宋体" w:eastAsia="宋体" w:hAnsi="宋体" w:cs="宋体"/>
          <w:noProof/>
          <w:color w:val="000000" w:themeColor="text1"/>
          <w:kern w:val="0"/>
          <w:sz w:val="24"/>
          <w:szCs w:val="24"/>
        </w:rPr>
        <w:pict>
          <v:rect id="矩形 33" o:spid="_x0000_s1032" style="position:absolute;left:0;text-align:left;margin-left:431.25pt;margin-top:595.1pt;width:72.75pt;height:21.7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" fillcolor="#4f81bd" strokeweight=".5pt">
            <v:shadow on="t" color="#243f60" opacity=".5" offset="1pt"/>
          </v:rect>
        </w:pict>
      </w:r>
      <w:r w:rsidR="003E5B9B" w:rsidRPr="003E5B9B">
        <w:rPr>
          <w:rFonts w:ascii="宋体" w:eastAsia="宋体" w:hAnsi="宋体" w:cs="宋体"/>
          <w:noProof/>
          <w:color w:val="000000" w:themeColor="text1"/>
          <w:kern w:val="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2" o:spid="_x0000_s1031" type="#_x0000_t13" style="position:absolute;left:0;text-align:left;margin-left:150.1pt;margin-top:619.5pt;width:51pt;height:41.2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" adj="8386,5289" fillcolor="#9bbb59" strokecolor="#f2f2f2" strokeweight="3pt">
            <v:shadow on="t" color="#4e6128" opacity=".5" offset="1pt"/>
          </v:shape>
        </w:pict>
      </w:r>
      <w:r w:rsidR="003E5B9B" w:rsidRPr="003E5B9B">
        <w:rPr>
          <w:rFonts w:ascii="宋体" w:eastAsia="宋体" w:hAnsi="宋体" w:cs="宋体"/>
          <w:noProof/>
          <w:color w:val="000000" w:themeColor="text1"/>
          <w:kern w:val="0"/>
          <w:sz w:val="24"/>
          <w:szCs w:val="24"/>
        </w:rPr>
        <w:pict>
          <v:rect id="矩形 31" o:spid="_x0000_s1030" style="position:absolute;left:0;text-align:left;margin-left:120.75pt;margin-top:616.5pt;width:104.25pt;height:81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"/>
        </w:pict>
      </w:r>
      <w:r w:rsidR="003E5B9B" w:rsidRPr="003E5B9B">
        <w:rPr>
          <w:rFonts w:ascii="宋体" w:eastAsia="宋体" w:hAnsi="宋体" w:cs="宋体"/>
          <w:noProof/>
          <w:color w:val="000000" w:themeColor="text1"/>
          <w:kern w:val="0"/>
          <w:sz w:val="24"/>
          <w:szCs w:val="24"/>
        </w:rPr>
        <w:pict>
          <v:rect id="矩形 30" o:spid="_x0000_s1029" style="position:absolute;left:0;text-align:left;margin-left:120.75pt;margin-top:616.5pt;width:104.25pt;height:8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"/>
        </w:pict>
      </w:r>
      <w:r w:rsidR="003E5B9B" w:rsidRPr="003E5B9B">
        <w:rPr>
          <w:rFonts w:ascii="宋体" w:eastAsia="宋体" w:hAnsi="宋体" w:cs="宋体"/>
          <w:noProof/>
          <w:color w:val="000000" w:themeColor="text1"/>
          <w:kern w:val="0"/>
          <w:sz w:val="24"/>
          <w:szCs w:val="24"/>
        </w:rPr>
        <w:pict>
          <v:rect id="矩形 29" o:spid="_x0000_s1028" style="position:absolute;left:0;text-align:left;margin-left:108.75pt;margin-top:604.5pt;width:104.25pt;height:81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"/>
        </w:pict>
      </w:r>
      <w:r w:rsidR="003E5B9B" w:rsidRPr="003E5B9B">
        <w:rPr>
          <w:rFonts w:ascii="宋体" w:eastAsia="宋体" w:hAnsi="宋体" w:cs="宋体"/>
          <w:noProof/>
          <w:color w:val="000000" w:themeColor="text1"/>
          <w:kern w:val="0"/>
          <w:sz w:val="24"/>
          <w:szCs w:val="24"/>
        </w:rPr>
        <w:pict>
          <v:rect id="矩形 28" o:spid="_x0000_s1027" style="position:absolute;left:0;text-align:left;margin-left:108.75pt;margin-top:604.5pt;width:104.25pt;height:8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"/>
        </w:pict>
      </w:r>
      <w:r w:rsidRPr="00B14E30">
        <w:rPr>
          <w:rFonts w:ascii="仿宋_GB2312" w:eastAsia="仿宋_GB2312" w:hAnsi="Times New Roman" w:cs="Times New Roman" w:hint="eastAsia"/>
          <w:color w:val="000000" w:themeColor="text1"/>
          <w:sz w:val="32"/>
          <w:szCs w:val="32"/>
        </w:rPr>
        <w:t>6</w:t>
      </w:r>
      <w:r w:rsidR="007A1969" w:rsidRPr="00B14E30">
        <w:rPr>
          <w:rFonts w:ascii="仿宋_GB2312" w:eastAsia="仿宋_GB2312" w:hAnsi="Times New Roman" w:cs="Times New Roman" w:hint="eastAsia"/>
          <w:color w:val="000000" w:themeColor="text1"/>
          <w:sz w:val="32"/>
          <w:szCs w:val="32"/>
        </w:rPr>
        <w:t>4</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1．专注发展优势特色专业………………………6</w:t>
      </w:r>
      <w:r w:rsidR="0087620B" w:rsidRPr="00B14E30">
        <w:rPr>
          <w:rFonts w:ascii="仿宋_GB2312" w:eastAsia="仿宋_GB2312" w:hAnsi="Times New Roman" w:cs="Times New Roman" w:hint="eastAsia"/>
          <w:color w:val="000000" w:themeColor="text1"/>
          <w:sz w:val="32"/>
          <w:szCs w:val="32"/>
        </w:rPr>
        <w:t>4</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2．加大招生宣传力度…………………………6</w:t>
      </w:r>
      <w:r w:rsidR="0087620B" w:rsidRPr="00B14E30">
        <w:rPr>
          <w:rFonts w:ascii="仿宋_GB2312" w:eastAsia="仿宋_GB2312" w:hAnsi="Times New Roman" w:cs="Times New Roman" w:hint="eastAsia"/>
          <w:color w:val="000000" w:themeColor="text1"/>
          <w:sz w:val="32"/>
          <w:szCs w:val="32"/>
        </w:rPr>
        <w:t>4</w:t>
      </w:r>
    </w:p>
    <w:p w:rsidR="001F25F9" w:rsidRPr="00B14E30" w:rsidRDefault="001F25F9" w:rsidP="001F25F9">
      <w:pPr>
        <w:spacing w:line="500" w:lineRule="exact"/>
        <w:ind w:firstLineChars="531" w:firstLine="1699"/>
        <w:jc w:val="distribute"/>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3．加快应用型转型工作…………………………6</w:t>
      </w:r>
      <w:r w:rsidR="00AF276E" w:rsidRPr="00B14E30">
        <w:rPr>
          <w:rFonts w:ascii="仿宋_GB2312" w:eastAsia="仿宋_GB2312" w:hAnsi="Times New Roman" w:cs="Times New Roman" w:hint="eastAsia"/>
          <w:color w:val="000000" w:themeColor="text1"/>
          <w:sz w:val="32"/>
          <w:szCs w:val="32"/>
        </w:rPr>
        <w:t>4</w:t>
      </w:r>
    </w:p>
    <w:p w:rsidR="001F25F9" w:rsidRPr="00B14E30" w:rsidRDefault="001F25F9" w:rsidP="009861E5">
      <w:pPr>
        <w:tabs>
          <w:tab w:val="left" w:pos="420"/>
          <w:tab w:val="center" w:pos="4422"/>
          <w:tab w:val="left" w:pos="7470"/>
        </w:tabs>
        <w:ind w:firstLineChars="810" w:firstLine="1701"/>
        <w:jc w:val="distribute"/>
        <w:rPr>
          <w:rFonts w:ascii="仿宋_GB2312" w:eastAsia="仿宋_GB2312" w:hAnsi="Times New Roman" w:cs="Times New Roman"/>
          <w:color w:val="000000" w:themeColor="text1"/>
          <w:sz w:val="32"/>
          <w:szCs w:val="32"/>
        </w:rPr>
      </w:pPr>
      <w:r w:rsidRPr="00B14E30">
        <w:rPr>
          <w:rFonts w:ascii="Times New Roman" w:eastAsia="宋体" w:hAnsi="Times New Roman" w:cs="Times New Roman"/>
          <w:noProof/>
          <w:color w:val="000000" w:themeColor="text1"/>
          <w:szCs w:val="24"/>
        </w:rPr>
        <w:drawing>
          <wp:anchor distT="0" distB="0" distL="114300" distR="114300" simplePos="0" relativeHeight="251675648" behindDoc="0" locked="0" layoutInCell="1" allowOverlap="1">
            <wp:simplePos x="0" y="0"/>
            <wp:positionH relativeFrom="column">
              <wp:posOffset>-503555</wp:posOffset>
            </wp:positionH>
            <wp:positionV relativeFrom="paragraph">
              <wp:posOffset>409575</wp:posOffset>
            </wp:positionV>
            <wp:extent cx="6543675" cy="2594610"/>
            <wp:effectExtent l="0" t="0" r="9525" b="0"/>
            <wp:wrapTopAndBottom/>
            <wp:docPr id="27" name="图片 27" descr="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流程"/>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3675" cy="2594610"/>
                    </a:xfrm>
                    <a:prstGeom prst="rect">
                      <a:avLst/>
                    </a:prstGeom>
                    <a:noFill/>
                    <a:ln>
                      <a:noFill/>
                    </a:ln>
                  </pic:spPr>
                </pic:pic>
              </a:graphicData>
            </a:graphic>
          </wp:anchor>
        </w:drawing>
      </w:r>
      <w:r w:rsidRPr="00B14E30">
        <w:rPr>
          <w:rFonts w:ascii="仿宋_GB2312" w:eastAsia="仿宋_GB2312" w:hAnsi="Times New Roman" w:cs="Times New Roman" w:hint="eastAsia"/>
          <w:color w:val="000000" w:themeColor="text1"/>
          <w:sz w:val="32"/>
          <w:szCs w:val="32"/>
        </w:rPr>
        <w:t>4．尝试大类招生模式……………</w:t>
      </w:r>
      <w:r w:rsidR="004B1947" w:rsidRPr="00B14E30">
        <w:rPr>
          <w:rFonts w:ascii="仿宋_GB2312" w:eastAsia="仿宋_GB2312" w:hAnsi="Times New Roman" w:cs="Times New Roman" w:hint="eastAsia"/>
          <w:color w:val="000000" w:themeColor="text1"/>
          <w:sz w:val="32"/>
          <w:szCs w:val="32"/>
        </w:rPr>
        <w:t>……</w:t>
      </w:r>
      <w:r w:rsidR="0087620B"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w:t>
      </w:r>
      <w:r w:rsidR="0087620B"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…6</w:t>
      </w:r>
      <w:r w:rsidR="0087620B" w:rsidRPr="00B14E30">
        <w:rPr>
          <w:rFonts w:ascii="仿宋_GB2312" w:eastAsia="仿宋_GB2312" w:hAnsi="Times New Roman" w:cs="Times New Roman" w:hint="eastAsia"/>
          <w:color w:val="000000" w:themeColor="text1"/>
          <w:sz w:val="32"/>
          <w:szCs w:val="32"/>
        </w:rPr>
        <w:t>5</w:t>
      </w:r>
    </w:p>
    <w:p w:rsidR="0087620B" w:rsidRPr="00B14E30" w:rsidRDefault="0087620B" w:rsidP="0087620B">
      <w:pPr>
        <w:tabs>
          <w:tab w:val="left" w:pos="420"/>
          <w:tab w:val="center" w:pos="4422"/>
          <w:tab w:val="left" w:pos="7470"/>
        </w:tabs>
        <w:ind w:firstLineChars="810" w:firstLine="2592"/>
        <w:jc w:val="center"/>
        <w:rPr>
          <w:rFonts w:ascii="仿宋_GB2312" w:eastAsia="仿宋_GB2312" w:hAnsi="Times New Roman" w:cs="Times New Roman"/>
          <w:color w:val="000000" w:themeColor="text1"/>
          <w:sz w:val="32"/>
          <w:szCs w:val="32"/>
        </w:rPr>
        <w:sectPr w:rsidR="0087620B" w:rsidRPr="00B14E30" w:rsidSect="0061003F">
          <w:footerReference w:type="even" r:id="rId10"/>
          <w:pgSz w:w="11906" w:h="16838"/>
          <w:pgMar w:top="2098" w:right="1474" w:bottom="1985" w:left="1588" w:header="851" w:footer="992" w:gutter="0"/>
          <w:cols w:space="425"/>
          <w:docGrid w:type="lines" w:linePitch="312"/>
        </w:sectPr>
      </w:pPr>
    </w:p>
    <w:p w:rsidR="001F25F9" w:rsidRPr="00B14E30" w:rsidRDefault="001F25F9" w:rsidP="001F25F9">
      <w:pPr>
        <w:tabs>
          <w:tab w:val="left" w:pos="420"/>
          <w:tab w:val="center" w:pos="4422"/>
          <w:tab w:val="left" w:pos="7470"/>
        </w:tabs>
        <w:jc w:val="center"/>
        <w:rPr>
          <w:rFonts w:ascii="长城小标宋体" w:eastAsia="长城小标宋体" w:hAnsi="Times New Roman" w:cs="Times New Roman"/>
          <w:color w:val="000000" w:themeColor="text1"/>
          <w:sz w:val="44"/>
          <w:szCs w:val="44"/>
        </w:rPr>
      </w:pPr>
      <w:r w:rsidRPr="00B14E30">
        <w:rPr>
          <w:rFonts w:ascii="长城小标宋体" w:eastAsia="长城小标宋体" w:hAnsi="Times New Roman" w:cs="Times New Roman" w:hint="eastAsia"/>
          <w:color w:val="000000" w:themeColor="text1"/>
          <w:sz w:val="44"/>
          <w:szCs w:val="44"/>
        </w:rPr>
        <w:lastRenderedPageBreak/>
        <w:t>关于如何做好营口理工学院2016年</w:t>
      </w:r>
    </w:p>
    <w:p w:rsidR="001F25F9" w:rsidRPr="00B14E30" w:rsidRDefault="001F25F9" w:rsidP="001F25F9">
      <w:pPr>
        <w:tabs>
          <w:tab w:val="left" w:pos="420"/>
          <w:tab w:val="center" w:pos="4422"/>
          <w:tab w:val="left" w:pos="7470"/>
        </w:tabs>
        <w:jc w:val="center"/>
        <w:rPr>
          <w:rFonts w:ascii="长城小标宋体" w:eastAsia="长城小标宋体" w:hAnsi="Times New Roman" w:cs="Times New Roman"/>
          <w:color w:val="000000" w:themeColor="text1"/>
          <w:sz w:val="44"/>
          <w:szCs w:val="44"/>
        </w:rPr>
      </w:pPr>
      <w:r w:rsidRPr="00B14E30">
        <w:rPr>
          <w:rFonts w:ascii="长城小标宋体" w:eastAsia="长城小标宋体" w:hAnsi="Times New Roman" w:cs="Times New Roman" w:hint="eastAsia"/>
          <w:color w:val="000000" w:themeColor="text1"/>
          <w:sz w:val="44"/>
          <w:szCs w:val="44"/>
        </w:rPr>
        <w:t>招生工作的研究</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影响高校招生工作质量的因素有很多，包括宣传效果、计划编制合理、高考改革影响等。为积极做好2016年招生工作，我院在分析往年录取情况的基础上，横向对比历年录取数据，并对影响高校招生录取的招生宣传效率、招生计划编制合理性、高考改革等因素进行深入研究，为我院今年招生工作提供参考依据，进一步提高我院招生工作效率与招生质量。</w:t>
      </w:r>
    </w:p>
    <w:p w:rsidR="001F25F9" w:rsidRPr="00B14E30" w:rsidRDefault="001F25F9" w:rsidP="001F25F9">
      <w:pPr>
        <w:tabs>
          <w:tab w:val="left" w:pos="5790"/>
        </w:tabs>
        <w:spacing w:line="560" w:lineRule="exact"/>
        <w:ind w:firstLineChars="200" w:firstLine="640"/>
        <w:rPr>
          <w:rFonts w:ascii="黑体" w:eastAsia="黑体" w:hAnsi="黑体" w:cs="Times New Roman"/>
          <w:color w:val="000000" w:themeColor="text1"/>
          <w:sz w:val="32"/>
          <w:szCs w:val="32"/>
        </w:rPr>
      </w:pPr>
      <w:r w:rsidRPr="00B14E30">
        <w:rPr>
          <w:rFonts w:ascii="黑体" w:eastAsia="黑体" w:hAnsi="黑体" w:cs="Times New Roman" w:hint="eastAsia"/>
          <w:color w:val="000000" w:themeColor="text1"/>
          <w:sz w:val="32"/>
          <w:szCs w:val="32"/>
        </w:rPr>
        <w:t>一、2015年招生录取工作情况</w:t>
      </w:r>
    </w:p>
    <w:p w:rsidR="001F25F9" w:rsidRPr="00B14E30" w:rsidRDefault="001F25F9" w:rsidP="001F25F9">
      <w:pPr>
        <w:tabs>
          <w:tab w:val="left" w:pos="5790"/>
        </w:tabs>
        <w:spacing w:line="560" w:lineRule="exact"/>
        <w:ind w:firstLineChars="200" w:firstLine="640"/>
        <w:rPr>
          <w:rFonts w:ascii="黑体" w:eastAsia="黑体" w:hAnsi="黑体"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2015年，我院面向17个省区计划招生1022人，实际录取1022人，一志愿投档率96.8%，平均录取分数高于二本录取控制分数线29.1分，圆满完成了招生工作任务，总体情况明显优于2014年。</w:t>
      </w:r>
    </w:p>
    <w:p w:rsidR="001F25F9" w:rsidRPr="00B14E30" w:rsidRDefault="001F25F9" w:rsidP="001F25F9">
      <w:pPr>
        <w:tabs>
          <w:tab w:val="left" w:pos="5790"/>
        </w:tabs>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t>（一）2015年招生计划基本情况</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表1.1 营口理工学院2015年招生计划表</w:t>
      </w:r>
    </w:p>
    <w:tbl>
      <w:tblPr>
        <w:tblW w:w="9796" w:type="dxa"/>
        <w:jc w:val="center"/>
        <w:tblInd w:w="-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96"/>
        <w:gridCol w:w="473"/>
        <w:gridCol w:w="565"/>
        <w:gridCol w:w="536"/>
        <w:gridCol w:w="468"/>
        <w:gridCol w:w="442"/>
        <w:gridCol w:w="434"/>
        <w:gridCol w:w="433"/>
        <w:gridCol w:w="433"/>
        <w:gridCol w:w="433"/>
        <w:gridCol w:w="433"/>
        <w:gridCol w:w="433"/>
        <w:gridCol w:w="433"/>
        <w:gridCol w:w="433"/>
        <w:gridCol w:w="433"/>
        <w:gridCol w:w="433"/>
        <w:gridCol w:w="433"/>
        <w:gridCol w:w="433"/>
        <w:gridCol w:w="433"/>
        <w:gridCol w:w="786"/>
      </w:tblGrid>
      <w:tr w:rsidR="00B14E30" w:rsidRPr="00B14E30" w:rsidTr="00CE6A93">
        <w:trPr>
          <w:trHeight w:val="1050"/>
          <w:jc w:val="center"/>
        </w:trPr>
        <w:tc>
          <w:tcPr>
            <w:tcW w:w="878"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专业</w:t>
            </w:r>
          </w:p>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名称</w:t>
            </w:r>
          </w:p>
        </w:tc>
        <w:tc>
          <w:tcPr>
            <w:tcW w:w="463"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科类</w:t>
            </w:r>
          </w:p>
        </w:tc>
        <w:tc>
          <w:tcPr>
            <w:tcW w:w="553"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辽宁</w:t>
            </w:r>
          </w:p>
        </w:tc>
        <w:tc>
          <w:tcPr>
            <w:tcW w:w="5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河北</w:t>
            </w:r>
          </w:p>
        </w:tc>
        <w:tc>
          <w:tcPr>
            <w:tcW w:w="458"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内蒙古</w:t>
            </w:r>
          </w:p>
        </w:tc>
        <w:tc>
          <w:tcPr>
            <w:tcW w:w="434"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吉林</w:t>
            </w:r>
          </w:p>
        </w:tc>
        <w:tc>
          <w:tcPr>
            <w:tcW w:w="426"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黑龙江</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山东</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陕西</w:t>
            </w:r>
          </w:p>
        </w:tc>
        <w:tc>
          <w:tcPr>
            <w:tcW w:w="425" w:type="dxa"/>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湖北</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广西</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四川</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贵州</w:t>
            </w:r>
          </w:p>
        </w:tc>
        <w:tc>
          <w:tcPr>
            <w:tcW w:w="425" w:type="dxa"/>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云南</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山西</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甘肃</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安徽</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河南</w:t>
            </w:r>
          </w:p>
        </w:tc>
        <w:tc>
          <w:tcPr>
            <w:tcW w:w="42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新疆</w:t>
            </w:r>
          </w:p>
        </w:tc>
        <w:tc>
          <w:tcPr>
            <w:tcW w:w="771"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Cs w:val="24"/>
              </w:rPr>
            </w:pPr>
            <w:r w:rsidRPr="00B14E30">
              <w:rPr>
                <w:rFonts w:ascii="仿宋_GB2312" w:eastAsia="仿宋_GB2312" w:hAnsi="Times New Roman" w:cs="Times New Roman" w:hint="eastAsia"/>
                <w:b/>
                <w:color w:val="000000" w:themeColor="text1"/>
                <w:szCs w:val="24"/>
              </w:rPr>
              <w:t>总计</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应化</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87</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机制</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71</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7</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材控</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89</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材料</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93</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无机非</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34</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62</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电气</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85</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自动化</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77</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lastRenderedPageBreak/>
              <w:t>化工</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85</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物流</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文</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40</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物流</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理</w:t>
            </w: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26</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5</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60</w:t>
            </w:r>
          </w:p>
        </w:tc>
      </w:tr>
      <w:tr w:rsidR="00B14E30" w:rsidRPr="00B14E30" w:rsidTr="00CE6A93">
        <w:trPr>
          <w:trHeight w:val="300"/>
          <w:jc w:val="center"/>
        </w:trPr>
        <w:tc>
          <w:tcPr>
            <w:tcW w:w="87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总计</w:t>
            </w:r>
          </w:p>
        </w:tc>
        <w:tc>
          <w:tcPr>
            <w:tcW w:w="46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c>
          <w:tcPr>
            <w:tcW w:w="55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687</w:t>
            </w:r>
          </w:p>
        </w:tc>
        <w:tc>
          <w:tcPr>
            <w:tcW w:w="5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31</w:t>
            </w:r>
          </w:p>
        </w:tc>
        <w:tc>
          <w:tcPr>
            <w:tcW w:w="45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36</w:t>
            </w:r>
          </w:p>
        </w:tc>
        <w:tc>
          <w:tcPr>
            <w:tcW w:w="434"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20</w:t>
            </w:r>
          </w:p>
        </w:tc>
        <w:tc>
          <w:tcPr>
            <w:tcW w:w="42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41</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25</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18</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9</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7</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20</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47</w:t>
            </w:r>
          </w:p>
        </w:tc>
        <w:tc>
          <w:tcPr>
            <w:tcW w:w="425" w:type="dxa"/>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6</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32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12</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10</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10</w:t>
            </w:r>
          </w:p>
        </w:tc>
        <w:tc>
          <w:tcPr>
            <w:tcW w:w="42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11</w:t>
            </w:r>
          </w:p>
        </w:tc>
        <w:tc>
          <w:tcPr>
            <w:tcW w:w="7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1022</w:t>
            </w:r>
          </w:p>
        </w:tc>
      </w:tr>
    </w:tbl>
    <w:p w:rsidR="001F25F9" w:rsidRPr="00B14E30" w:rsidRDefault="001F25F9" w:rsidP="00742809">
      <w:pPr>
        <w:ind w:left="405" w:hangingChars="193" w:hanging="405"/>
        <w:rPr>
          <w:rFonts w:ascii="楷体_GB2312" w:eastAsia="楷体_GB2312" w:hAnsi="黑体" w:cs="Times New Roman"/>
          <w:color w:val="000000" w:themeColor="text1"/>
          <w:szCs w:val="21"/>
        </w:rPr>
      </w:pPr>
      <w:r w:rsidRPr="00B14E30">
        <w:rPr>
          <w:rFonts w:ascii="仿宋_GB2312" w:eastAsia="仿宋_GB2312" w:hAnsi="Times New Roman" w:cs="Times New Roman" w:hint="eastAsia"/>
          <w:color w:val="000000" w:themeColor="text1"/>
          <w:szCs w:val="21"/>
        </w:rPr>
        <w:t>注：应化（应用化学）、机制（机械设计制造及其自动化）、材控（材料成型及控制工程）、材料（材料科学与工程）、无机非（无机非金属材料工程）、电气（电气工程及其自动化）、自动化、化工（化学工程与工艺）和物流（物流管理）。</w:t>
      </w:r>
    </w:p>
    <w:p w:rsidR="001F25F9" w:rsidRPr="00B14E30" w:rsidRDefault="001F25F9" w:rsidP="001F25F9">
      <w:pPr>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t>（二）2015年招生录取情况分析</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1．分省区录取基本情况分析</w:t>
      </w:r>
    </w:p>
    <w:p w:rsidR="001F25F9" w:rsidRPr="00B14E30" w:rsidRDefault="001F25F9" w:rsidP="001F25F9">
      <w:pPr>
        <w:spacing w:line="560" w:lineRule="exact"/>
        <w:jc w:val="center"/>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表1.2 2015年分省区录取基本情况表</w:t>
      </w:r>
    </w:p>
    <w:tbl>
      <w:tblPr>
        <w:tblW w:w="877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866"/>
        <w:gridCol w:w="540"/>
        <w:gridCol w:w="687"/>
        <w:gridCol w:w="567"/>
        <w:gridCol w:w="681"/>
        <w:gridCol w:w="756"/>
        <w:gridCol w:w="756"/>
        <w:gridCol w:w="756"/>
        <w:gridCol w:w="756"/>
        <w:gridCol w:w="756"/>
        <w:gridCol w:w="756"/>
        <w:gridCol w:w="899"/>
      </w:tblGrid>
      <w:tr w:rsidR="00B14E30" w:rsidRPr="00B14E30" w:rsidTr="00CE6A93">
        <w:trPr>
          <w:trHeight w:val="908"/>
          <w:jc w:val="center"/>
        </w:trPr>
        <w:tc>
          <w:tcPr>
            <w:tcW w:w="866" w:type="dxa"/>
            <w:shd w:val="clear" w:color="auto" w:fill="auto"/>
            <w:noWrap/>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省份</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类别</w:t>
            </w:r>
          </w:p>
        </w:tc>
        <w:tc>
          <w:tcPr>
            <w:tcW w:w="687"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计</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划</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数</w:t>
            </w:r>
          </w:p>
        </w:tc>
        <w:tc>
          <w:tcPr>
            <w:tcW w:w="567"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录</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取</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数</w:t>
            </w:r>
          </w:p>
        </w:tc>
        <w:tc>
          <w:tcPr>
            <w:tcW w:w="681"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第一次投档数</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第一次征集投档数</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第二次征集投档数</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最</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高</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分</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最</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低</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分</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平</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均</w:t>
            </w:r>
          </w:p>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分</w:t>
            </w:r>
          </w:p>
        </w:tc>
        <w:tc>
          <w:tcPr>
            <w:tcW w:w="756"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二本控制线</w:t>
            </w:r>
          </w:p>
        </w:tc>
        <w:tc>
          <w:tcPr>
            <w:tcW w:w="899" w:type="dxa"/>
            <w:shd w:val="clear" w:color="auto" w:fill="auto"/>
            <w:vAlign w:val="center"/>
          </w:tcPr>
          <w:p w:rsidR="001F25F9" w:rsidRPr="00B14E30" w:rsidRDefault="001F25F9" w:rsidP="001F25F9">
            <w:pPr>
              <w:widowControl/>
              <w:jc w:val="center"/>
              <w:rPr>
                <w:rFonts w:ascii="仿宋_GB2312" w:eastAsia="仿宋_GB2312" w:hAnsi="黑体" w:cs="宋体"/>
                <w:b/>
                <w:color w:val="000000" w:themeColor="text1"/>
                <w:kern w:val="0"/>
                <w:szCs w:val="21"/>
              </w:rPr>
            </w:pPr>
            <w:r w:rsidRPr="00B14E30">
              <w:rPr>
                <w:rFonts w:ascii="仿宋_GB2312" w:eastAsia="仿宋_GB2312" w:hAnsi="黑体" w:cs="宋体" w:hint="eastAsia"/>
                <w:b/>
                <w:color w:val="000000" w:themeColor="text1"/>
                <w:kern w:val="0"/>
                <w:szCs w:val="21"/>
              </w:rPr>
              <w:t>平均分与控制线分差</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辽宁</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479.3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19.3</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647</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647</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647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432.7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419</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13.7</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河北</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522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517.3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496</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21.3</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27</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27</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529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509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514.7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474</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40.7</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内蒙古</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437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385</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61</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33</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33</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404.0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336</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68.0</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吉林</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20</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447.1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405</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42.1</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黑龙江</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464.4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50.4</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432.8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371</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61.8</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山东</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528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524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525.4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15.4</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22</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22</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533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507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512.9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22.9</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陕西</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18</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18</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453.4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13.4</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湖北</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455.2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448</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7.2</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广西</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394.9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320</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74.9</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四川</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500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497.3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473</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24.3</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17</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17</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496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483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486.1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445</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41.1</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贵州</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398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372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377.1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372</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w:t>
            </w:r>
          </w:p>
        </w:tc>
      </w:tr>
      <w:tr w:rsidR="00B14E30" w:rsidRPr="00B14E30" w:rsidTr="00CE6A93">
        <w:trPr>
          <w:trHeight w:val="285"/>
          <w:jc w:val="center"/>
        </w:trPr>
        <w:tc>
          <w:tcPr>
            <w:tcW w:w="866" w:type="dxa"/>
            <w:vMerge w:val="restart"/>
            <w:vAlign w:val="center"/>
          </w:tcPr>
          <w:p w:rsidR="001F25F9" w:rsidRPr="00B14E30" w:rsidRDefault="001F25F9" w:rsidP="001F25F9">
            <w:pPr>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lastRenderedPageBreak/>
              <w:t>云南</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436.5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425</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11.5</w:t>
            </w:r>
          </w:p>
        </w:tc>
      </w:tr>
      <w:tr w:rsidR="00B14E30" w:rsidRPr="00B14E30" w:rsidTr="00CE6A93">
        <w:trPr>
          <w:trHeight w:val="285"/>
          <w:jc w:val="center"/>
        </w:trPr>
        <w:tc>
          <w:tcPr>
            <w:tcW w:w="866" w:type="dxa"/>
            <w:vMerge w:val="restart"/>
            <w:vAlign w:val="center"/>
          </w:tcPr>
          <w:p w:rsidR="001F25F9" w:rsidRPr="00B14E30" w:rsidRDefault="001F25F9" w:rsidP="001F25F9">
            <w:pPr>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山西</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470.5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462</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8.5</w:t>
            </w: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28</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28</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26</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459.8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442</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17.8</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甘肃</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12</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12</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434</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422.3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417</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5.3</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安徽</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545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539.7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511</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28.7</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河南</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487</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468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478.1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458</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20.1</w:t>
            </w:r>
          </w:p>
        </w:tc>
      </w:tr>
      <w:tr w:rsidR="00B14E30" w:rsidRPr="00B14E30" w:rsidTr="00CE6A93">
        <w:trPr>
          <w:trHeight w:val="285"/>
          <w:jc w:val="center"/>
        </w:trPr>
        <w:tc>
          <w:tcPr>
            <w:tcW w:w="866" w:type="dxa"/>
            <w:vMerge w:val="restart"/>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新疆</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r>
      <w:tr w:rsidR="00B14E30" w:rsidRPr="00B14E30" w:rsidTr="00CE6A93">
        <w:trPr>
          <w:trHeight w:val="285"/>
          <w:jc w:val="center"/>
        </w:trPr>
        <w:tc>
          <w:tcPr>
            <w:tcW w:w="866" w:type="dxa"/>
            <w:vMerge/>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11</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11</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11</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420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398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404.3</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381</w:t>
            </w: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23.3</w:t>
            </w:r>
          </w:p>
        </w:tc>
      </w:tr>
      <w:tr w:rsidR="00B14E30" w:rsidRPr="00B14E30" w:rsidTr="00CE6A93">
        <w:trPr>
          <w:trHeight w:val="285"/>
          <w:jc w:val="center"/>
        </w:trPr>
        <w:tc>
          <w:tcPr>
            <w:tcW w:w="866" w:type="dxa"/>
            <w:vMerge w:val="restart"/>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合计</w:t>
            </w: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文</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60</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60</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60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0</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28.6</w:t>
            </w:r>
          </w:p>
        </w:tc>
      </w:tr>
      <w:tr w:rsidR="00B14E30" w:rsidRPr="00B14E30" w:rsidTr="00CE6A93">
        <w:trPr>
          <w:trHeight w:val="285"/>
          <w:jc w:val="center"/>
        </w:trPr>
        <w:tc>
          <w:tcPr>
            <w:tcW w:w="866" w:type="dxa"/>
            <w:vMerge/>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理</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962</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962</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929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29.3</w:t>
            </w:r>
          </w:p>
        </w:tc>
      </w:tr>
      <w:tr w:rsidR="00B14E30" w:rsidRPr="00B14E30" w:rsidTr="00CE6A93">
        <w:trPr>
          <w:trHeight w:val="285"/>
          <w:jc w:val="center"/>
        </w:trPr>
        <w:tc>
          <w:tcPr>
            <w:tcW w:w="866" w:type="dxa"/>
            <w:vMerge/>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p>
        </w:tc>
        <w:tc>
          <w:tcPr>
            <w:tcW w:w="540" w:type="dxa"/>
            <w:shd w:val="clear" w:color="auto" w:fill="auto"/>
            <w:noWrap/>
            <w:vAlign w:val="center"/>
          </w:tcPr>
          <w:p w:rsidR="001F25F9" w:rsidRPr="00B14E30" w:rsidRDefault="001F25F9" w:rsidP="001F25F9">
            <w:pPr>
              <w:widowControl/>
              <w:jc w:val="center"/>
              <w:rPr>
                <w:rFonts w:ascii="仿宋_GB2312" w:eastAsia="仿宋_GB2312" w:hAnsi="黑体" w:cs="宋体"/>
                <w:color w:val="000000" w:themeColor="text1"/>
                <w:kern w:val="0"/>
                <w:szCs w:val="21"/>
              </w:rPr>
            </w:pPr>
            <w:r w:rsidRPr="00B14E30">
              <w:rPr>
                <w:rFonts w:ascii="仿宋_GB2312" w:eastAsia="仿宋_GB2312" w:hAnsi="黑体" w:cs="宋体" w:hint="eastAsia"/>
                <w:color w:val="000000" w:themeColor="text1"/>
                <w:kern w:val="0"/>
                <w:szCs w:val="21"/>
              </w:rPr>
              <w:t>合</w:t>
            </w:r>
          </w:p>
        </w:tc>
        <w:tc>
          <w:tcPr>
            <w:tcW w:w="68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1022</w:t>
            </w:r>
          </w:p>
        </w:tc>
        <w:tc>
          <w:tcPr>
            <w:tcW w:w="567"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pacing w:val="-22"/>
                <w:szCs w:val="21"/>
              </w:rPr>
            </w:pPr>
            <w:r w:rsidRPr="00B14E30">
              <w:rPr>
                <w:rFonts w:ascii="仿宋_GB2312" w:eastAsia="仿宋_GB2312" w:hAnsi="黑体" w:cs="宋体" w:hint="eastAsia"/>
                <w:color w:val="000000" w:themeColor="text1"/>
                <w:spacing w:val="-22"/>
                <w:szCs w:val="21"/>
              </w:rPr>
              <w:t>1022</w:t>
            </w:r>
          </w:p>
        </w:tc>
        <w:tc>
          <w:tcPr>
            <w:tcW w:w="681"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989</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25</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8</w:t>
            </w: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756"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p>
        </w:tc>
        <w:tc>
          <w:tcPr>
            <w:tcW w:w="899" w:type="dxa"/>
            <w:shd w:val="clear" w:color="auto" w:fill="auto"/>
            <w:noWrap/>
            <w:vAlign w:val="center"/>
          </w:tcPr>
          <w:p w:rsidR="001F25F9" w:rsidRPr="00B14E30" w:rsidRDefault="001F25F9" w:rsidP="001F25F9">
            <w:pPr>
              <w:jc w:val="center"/>
              <w:rPr>
                <w:rFonts w:ascii="仿宋_GB2312" w:eastAsia="仿宋_GB2312" w:hAnsi="黑体" w:cs="宋体"/>
                <w:color w:val="000000" w:themeColor="text1"/>
                <w:szCs w:val="21"/>
              </w:rPr>
            </w:pPr>
            <w:r w:rsidRPr="00B14E30">
              <w:rPr>
                <w:rFonts w:ascii="仿宋_GB2312" w:eastAsia="仿宋_GB2312" w:hAnsi="黑体" w:cs="宋体" w:hint="eastAsia"/>
                <w:color w:val="000000" w:themeColor="text1"/>
                <w:szCs w:val="21"/>
              </w:rPr>
              <w:t>29.1</w:t>
            </w:r>
          </w:p>
        </w:tc>
      </w:tr>
    </w:tbl>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由表1.2可看出，2015年学院文史类计划第一投档完成计划率100%，理工类计划第一次投档完成计划率为96.8%，较2014年提高了2.9个百分点。2015年平均录取分</w:t>
      </w:r>
      <w:r w:rsidR="000244CE" w:rsidRPr="00B14E30">
        <w:rPr>
          <w:rFonts w:ascii="仿宋_GB2312" w:eastAsia="仿宋_GB2312" w:hAnsi="Times New Roman" w:cs="Times New Roman" w:hint="eastAsia"/>
          <w:color w:val="000000" w:themeColor="text1"/>
          <w:sz w:val="32"/>
          <w:szCs w:val="32"/>
        </w:rPr>
        <w:t>数</w:t>
      </w:r>
      <w:r w:rsidRPr="00B14E30">
        <w:rPr>
          <w:rFonts w:ascii="仿宋_GB2312" w:eastAsia="仿宋_GB2312" w:hAnsi="Times New Roman" w:cs="Times New Roman" w:hint="eastAsia"/>
          <w:color w:val="000000" w:themeColor="text1"/>
          <w:sz w:val="32"/>
          <w:szCs w:val="32"/>
        </w:rPr>
        <w:t>高于二本控制线29.1分，较2014年提高了7.2分。</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2．分专业录取基本情况分析</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表1.3 分专业平均分及控制线分差情况表</w:t>
      </w:r>
    </w:p>
    <w:tbl>
      <w:tblPr>
        <w:tblW w:w="96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56"/>
        <w:gridCol w:w="900"/>
        <w:gridCol w:w="766"/>
        <w:gridCol w:w="766"/>
        <w:gridCol w:w="766"/>
        <w:gridCol w:w="766"/>
        <w:gridCol w:w="766"/>
        <w:gridCol w:w="766"/>
        <w:gridCol w:w="766"/>
        <w:gridCol w:w="767"/>
        <w:gridCol w:w="853"/>
        <w:gridCol w:w="900"/>
      </w:tblGrid>
      <w:tr w:rsidR="00B14E30" w:rsidRPr="00B14E30" w:rsidTr="00CE6A93">
        <w:trPr>
          <w:trHeight w:val="705"/>
          <w:jc w:val="center"/>
        </w:trPr>
        <w:tc>
          <w:tcPr>
            <w:tcW w:w="85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省区</w:t>
            </w:r>
          </w:p>
        </w:tc>
        <w:tc>
          <w:tcPr>
            <w:tcW w:w="900" w:type="dxa"/>
            <w:shd w:val="clear" w:color="auto" w:fill="auto"/>
            <w:vAlign w:val="center"/>
          </w:tcPr>
          <w:p w:rsidR="001F25F9" w:rsidRPr="00B14E30" w:rsidRDefault="001F25F9" w:rsidP="001F25F9">
            <w:pPr>
              <w:widowControl/>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项目</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应化</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机制</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材控</w:t>
            </w:r>
          </w:p>
        </w:tc>
        <w:tc>
          <w:tcPr>
            <w:tcW w:w="766" w:type="dxa"/>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材料</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spacing w:val="-14"/>
                <w:kern w:val="0"/>
                <w:szCs w:val="21"/>
              </w:rPr>
            </w:pPr>
            <w:r w:rsidRPr="00B14E30">
              <w:rPr>
                <w:rFonts w:ascii="仿宋_GB2312" w:eastAsia="仿宋_GB2312" w:hAnsi="宋体" w:cs="宋体" w:hint="eastAsia"/>
                <w:b/>
                <w:color w:val="000000" w:themeColor="text1"/>
                <w:spacing w:val="-14"/>
                <w:kern w:val="0"/>
                <w:szCs w:val="21"/>
              </w:rPr>
              <w:t>无机非</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电气</w:t>
            </w:r>
          </w:p>
        </w:tc>
        <w:tc>
          <w:tcPr>
            <w:tcW w:w="76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spacing w:val="-14"/>
                <w:kern w:val="0"/>
                <w:szCs w:val="21"/>
              </w:rPr>
            </w:pPr>
            <w:r w:rsidRPr="00B14E30">
              <w:rPr>
                <w:rFonts w:ascii="仿宋_GB2312" w:eastAsia="仿宋_GB2312" w:hAnsi="宋体" w:cs="宋体" w:hint="eastAsia"/>
                <w:b/>
                <w:color w:val="000000" w:themeColor="text1"/>
                <w:spacing w:val="-14"/>
                <w:kern w:val="0"/>
                <w:szCs w:val="21"/>
              </w:rPr>
              <w:t>自动化</w:t>
            </w:r>
          </w:p>
        </w:tc>
        <w:tc>
          <w:tcPr>
            <w:tcW w:w="767"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化工</w:t>
            </w:r>
          </w:p>
        </w:tc>
        <w:tc>
          <w:tcPr>
            <w:tcW w:w="853"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物流（理）</w:t>
            </w:r>
          </w:p>
        </w:tc>
        <w:tc>
          <w:tcPr>
            <w:tcW w:w="90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物流（文）</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辽宁</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430.3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429.4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428.9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430.4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439.1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432.7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430.6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437.9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479.3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left"/>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460.0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11.3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10.4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9.9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11.4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20.1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13.7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11.6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18.9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19.3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河北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523.0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512.7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512.5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510.3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519.3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515.3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514.3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512.0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517.3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474.0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496.0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38.7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36.3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21.3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内蒙古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392.5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413.2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403.3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399.7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385.7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414.3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395.7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411.0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446.0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336.0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385.0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56.5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77.2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67.3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63.7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87.0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78.3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59.7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75.0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61.0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吉林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467.5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447.5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452.5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438.3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433.3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62.5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47.5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33.3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28.3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黑龙江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428.4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438.3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432.7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430.7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429.3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438.2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434.8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429.4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436.3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464.3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371.0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410.0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57.4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67.3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61.7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59.7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58.3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67.2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63.8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58.4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65.3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54.3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山东</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520.8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513.3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509.0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508.3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525.3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510.0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30.8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21.5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23.3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19.0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18.3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21.0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15.3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陕西</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453.3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454.3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456.3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453.3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451.0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440.0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13.3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14.3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16.3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13.3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11.0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湖北</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457.0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454.5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457.0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453.3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448.0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448.0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448.0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9.0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9.0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5.3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广西</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403.7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384.5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392.0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320.0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320.0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320.0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bookmarkStart w:id="0" w:name="_GoBack"/>
            <w:bookmarkEnd w:id="0"/>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83.7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64.5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72.0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四川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483.7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490.7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484.3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485.5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487.0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497.3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445.0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473.0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39.3 </w:t>
            </w: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40.5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24.3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贵州</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377.3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382.4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372.8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375.8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376.0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378.3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374.2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380.3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375.2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372.0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10.4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0.8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6.3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2.2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8.3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3.2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 xml:space="preserve">云南　</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431.5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455.5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422.5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425.0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6.5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30.5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-2.5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山西</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465.0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458.3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457.7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456.5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463.6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462.0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454.7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460.3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470.5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442.0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462.0 </w:t>
            </w: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23.0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16.3 </w:t>
            </w: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15.7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14.5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21.6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20.0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12.7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18.3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8.5 </w:t>
            </w: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甘肃</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426.6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419.2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419.5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417.0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417.0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417.0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9.6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2.2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2.5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安徽</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532.0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542.3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542.0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540.0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511.0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21.0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31.3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31.0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29.0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河南</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485.0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473.8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483.0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475.0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458.0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458.0 </w:t>
            </w: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458.0 </w:t>
            </w: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27.0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15.8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25.0 </w:t>
            </w:r>
          </w:p>
        </w:tc>
        <w:tc>
          <w:tcPr>
            <w:tcW w:w="767"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17.0 </w:t>
            </w: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新疆</w:t>
            </w: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平均分</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408.7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404.8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400.5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控制线</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381.0 </w:t>
            </w: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381.0 </w:t>
            </w:r>
          </w:p>
        </w:tc>
        <w:tc>
          <w:tcPr>
            <w:tcW w:w="853"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p>
        </w:tc>
      </w:tr>
      <w:tr w:rsidR="00B14E30" w:rsidRPr="00B14E30" w:rsidTr="00CE6A93">
        <w:trPr>
          <w:trHeight w:val="285"/>
          <w:jc w:val="center"/>
        </w:trPr>
        <w:tc>
          <w:tcPr>
            <w:tcW w:w="856"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90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27.7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6"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23.8 </w:t>
            </w:r>
          </w:p>
        </w:tc>
        <w:tc>
          <w:tcPr>
            <w:tcW w:w="76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767" w:type="dxa"/>
            <w:shd w:val="clear" w:color="auto" w:fill="auto"/>
            <w:noWrap/>
            <w:vAlign w:val="center"/>
          </w:tcPr>
          <w:p w:rsidR="001F25F9" w:rsidRPr="00B14E30" w:rsidRDefault="001F25F9" w:rsidP="001F25F9">
            <w:pPr>
              <w:jc w:val="right"/>
              <w:rPr>
                <w:rFonts w:ascii="仿宋_GB2312" w:eastAsia="仿宋_GB2312" w:hAnsi="宋体" w:cs="宋体"/>
                <w:color w:val="000000" w:themeColor="text1"/>
                <w:sz w:val="24"/>
                <w:szCs w:val="24"/>
              </w:rPr>
            </w:pPr>
            <w:r w:rsidRPr="00B14E30">
              <w:rPr>
                <w:rFonts w:ascii="仿宋_GB2312" w:eastAsia="仿宋_GB2312" w:hAnsi="Times New Roman" w:cs="Times New Roman" w:hint="eastAsia"/>
                <w:color w:val="000000" w:themeColor="text1"/>
                <w:szCs w:val="24"/>
              </w:rPr>
              <w:t xml:space="preserve">19.5 </w:t>
            </w:r>
          </w:p>
        </w:tc>
        <w:tc>
          <w:tcPr>
            <w:tcW w:w="853"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c>
          <w:tcPr>
            <w:tcW w:w="900"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bl>
    <w:p w:rsidR="001F25F9" w:rsidRPr="00B14E30" w:rsidRDefault="001F25F9" w:rsidP="001F25F9">
      <w:pPr>
        <w:jc w:val="center"/>
        <w:rPr>
          <w:rFonts w:ascii="Times New Roman" w:eastAsia="宋体" w:hAnsi="Times New Roman" w:cs="Times New Roman"/>
          <w:color w:val="000000" w:themeColor="text1"/>
          <w:szCs w:val="24"/>
        </w:rPr>
      </w:pPr>
      <w:r w:rsidRPr="00B14E30">
        <w:rPr>
          <w:rFonts w:ascii="Times New Roman" w:eastAsia="宋体" w:hAnsi="Times New Roman" w:cs="Times New Roman"/>
          <w:noProof/>
          <w:color w:val="000000" w:themeColor="text1"/>
          <w:szCs w:val="24"/>
        </w:rPr>
        <w:drawing>
          <wp:inline distT="0" distB="0" distL="0" distR="0">
            <wp:extent cx="5507355" cy="3147060"/>
            <wp:effectExtent l="0" t="0" r="0" b="0"/>
            <wp:docPr id="16" name="图表 16" descr="标题: 辽宁省各专业平均分与控制线分差图"/>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25F9" w:rsidRPr="00B14E30" w:rsidRDefault="001F25F9" w:rsidP="00EC3F65">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图1.1 2015年辽宁省各专业平均分与控制线分差图</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图1.1表明，学院招生专业中机制、电气、物流仍然受到分数较高考生的青睐。而2015年新增</w:t>
      </w:r>
      <w:r w:rsidR="00D23F53" w:rsidRPr="00B14E30">
        <w:rPr>
          <w:rFonts w:ascii="仿宋_GB2312" w:eastAsia="仿宋_GB2312" w:hAnsi="Times New Roman" w:cs="Times New Roman" w:hint="eastAsia"/>
          <w:color w:val="000000" w:themeColor="text1"/>
          <w:sz w:val="32"/>
          <w:szCs w:val="32"/>
        </w:rPr>
        <w:t>的</w:t>
      </w:r>
      <w:r w:rsidRPr="00B14E30">
        <w:rPr>
          <w:rFonts w:ascii="仿宋_GB2312" w:eastAsia="仿宋_GB2312" w:hAnsi="Times New Roman" w:cs="Times New Roman" w:hint="eastAsia"/>
          <w:color w:val="000000" w:themeColor="text1"/>
          <w:sz w:val="32"/>
          <w:szCs w:val="32"/>
        </w:rPr>
        <w:t>材料科学与工程专业由于第一年招生，考生关注</w:t>
      </w:r>
      <w:r w:rsidR="00D23F53" w:rsidRPr="00B14E30">
        <w:rPr>
          <w:rFonts w:ascii="仿宋_GB2312" w:eastAsia="仿宋_GB2312" w:hAnsi="Times New Roman" w:cs="Times New Roman" w:hint="eastAsia"/>
          <w:color w:val="000000" w:themeColor="text1"/>
          <w:sz w:val="32"/>
          <w:szCs w:val="32"/>
        </w:rPr>
        <w:t>度</w:t>
      </w:r>
      <w:r w:rsidRPr="00B14E30">
        <w:rPr>
          <w:rFonts w:ascii="仿宋_GB2312" w:eastAsia="仿宋_GB2312" w:hAnsi="Times New Roman" w:cs="Times New Roman" w:hint="eastAsia"/>
          <w:color w:val="000000" w:themeColor="text1"/>
          <w:sz w:val="32"/>
          <w:szCs w:val="32"/>
        </w:rPr>
        <w:t>低且没有往年分数作为参考，平均分仅高出控制线9.9分。</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3．各省区各分数段情况分析</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（1）文科</w:t>
      </w:r>
    </w:p>
    <w:p w:rsidR="001F25F9" w:rsidRPr="00B14E30" w:rsidRDefault="001F25F9" w:rsidP="00EC3F65">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表1.4 各省</w:t>
      </w:r>
      <w:r w:rsidR="00D9768B" w:rsidRPr="00B14E30">
        <w:rPr>
          <w:rFonts w:ascii="仿宋_GB2312" w:eastAsia="仿宋_GB2312" w:hAnsi="Times New Roman" w:cs="Times New Roman" w:hint="eastAsia"/>
          <w:color w:val="000000" w:themeColor="text1"/>
          <w:sz w:val="32"/>
          <w:szCs w:val="32"/>
        </w:rPr>
        <w:t>区</w:t>
      </w:r>
      <w:r w:rsidRPr="00B14E30">
        <w:rPr>
          <w:rFonts w:ascii="仿宋_GB2312" w:eastAsia="仿宋_GB2312" w:hAnsi="Times New Roman" w:cs="Times New Roman" w:hint="eastAsia"/>
          <w:color w:val="000000" w:themeColor="text1"/>
          <w:sz w:val="32"/>
          <w:szCs w:val="32"/>
        </w:rPr>
        <w:t>（文科）各分数段考生人数分布情况表</w:t>
      </w:r>
    </w:p>
    <w:tbl>
      <w:tblPr>
        <w:tblW w:w="88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64"/>
        <w:gridCol w:w="1265"/>
        <w:gridCol w:w="1263"/>
        <w:gridCol w:w="12"/>
        <w:gridCol w:w="1252"/>
        <w:gridCol w:w="23"/>
        <w:gridCol w:w="1185"/>
        <w:gridCol w:w="55"/>
        <w:gridCol w:w="1264"/>
        <w:gridCol w:w="61"/>
        <w:gridCol w:w="1208"/>
      </w:tblGrid>
      <w:tr w:rsidR="00B14E30" w:rsidRPr="00B14E30" w:rsidTr="00CE6A93">
        <w:trPr>
          <w:trHeight w:val="298"/>
          <w:jc w:val="center"/>
        </w:trPr>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省区</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项目</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A</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B</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C</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D</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E</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辽宁</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62.5%</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河北</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内蒙古</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446"/>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lastRenderedPageBreak/>
              <w:t>吉林</w:t>
            </w:r>
          </w:p>
        </w:tc>
        <w:tc>
          <w:tcPr>
            <w:tcW w:w="7588" w:type="dxa"/>
            <w:gridSpan w:val="10"/>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文科未投放计划</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黑龙江</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山东</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hRule="exact" w:val="429"/>
          <w:jc w:val="center"/>
        </w:trPr>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陕西</w:t>
            </w:r>
          </w:p>
        </w:tc>
        <w:tc>
          <w:tcPr>
            <w:tcW w:w="7588" w:type="dxa"/>
            <w:gridSpan w:val="10"/>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49"/>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湖北</w:t>
            </w:r>
          </w:p>
        </w:tc>
        <w:tc>
          <w:tcPr>
            <w:tcW w:w="7588" w:type="dxa"/>
            <w:gridSpan w:val="10"/>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69"/>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广西</w:t>
            </w:r>
          </w:p>
        </w:tc>
        <w:tc>
          <w:tcPr>
            <w:tcW w:w="7588" w:type="dxa"/>
            <w:gridSpan w:val="10"/>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val="285"/>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四川</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264" w:type="dxa"/>
            <w:vMerge/>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63"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4"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3" w:type="dxa"/>
            <w:gridSpan w:val="3"/>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6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69" w:type="dxa"/>
            <w:gridSpan w:val="2"/>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hRule="exact" w:val="441"/>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贵州</w:t>
            </w:r>
          </w:p>
        </w:tc>
        <w:tc>
          <w:tcPr>
            <w:tcW w:w="7588" w:type="dxa"/>
            <w:gridSpan w:val="10"/>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74"/>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云南</w:t>
            </w:r>
          </w:p>
        </w:tc>
        <w:tc>
          <w:tcPr>
            <w:tcW w:w="7588" w:type="dxa"/>
            <w:gridSpan w:val="10"/>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567"/>
          <w:jc w:val="center"/>
        </w:trPr>
        <w:tc>
          <w:tcPr>
            <w:tcW w:w="1264" w:type="dxa"/>
            <w:vMerge w:val="restart"/>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山西</w:t>
            </w: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75" w:type="dxa"/>
            <w:gridSpan w:val="2"/>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75" w:type="dxa"/>
            <w:gridSpan w:val="2"/>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185"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380" w:type="dxa"/>
            <w:gridSpan w:val="3"/>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08"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hRule="exact" w:val="567"/>
          <w:jc w:val="center"/>
        </w:trPr>
        <w:tc>
          <w:tcPr>
            <w:tcW w:w="1264" w:type="dxa"/>
            <w:vMerge/>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p>
        </w:tc>
        <w:tc>
          <w:tcPr>
            <w:tcW w:w="126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75" w:type="dxa"/>
            <w:gridSpan w:val="2"/>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50.0%</w:t>
            </w:r>
          </w:p>
        </w:tc>
        <w:tc>
          <w:tcPr>
            <w:tcW w:w="1275" w:type="dxa"/>
            <w:gridSpan w:val="2"/>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50.0%</w:t>
            </w:r>
          </w:p>
        </w:tc>
        <w:tc>
          <w:tcPr>
            <w:tcW w:w="1185"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380" w:type="dxa"/>
            <w:gridSpan w:val="3"/>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08"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hRule="exact" w:val="410"/>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甘肃</w:t>
            </w:r>
          </w:p>
        </w:tc>
        <w:tc>
          <w:tcPr>
            <w:tcW w:w="7588" w:type="dxa"/>
            <w:gridSpan w:val="10"/>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59"/>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安徽</w:t>
            </w:r>
          </w:p>
        </w:tc>
        <w:tc>
          <w:tcPr>
            <w:tcW w:w="7588" w:type="dxa"/>
            <w:gridSpan w:val="10"/>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51"/>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河南</w:t>
            </w:r>
          </w:p>
        </w:tc>
        <w:tc>
          <w:tcPr>
            <w:tcW w:w="7588" w:type="dxa"/>
            <w:gridSpan w:val="10"/>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r w:rsidR="00B14E30" w:rsidRPr="00B14E30" w:rsidTr="00CE6A93">
        <w:trPr>
          <w:trHeight w:hRule="exact" w:val="471"/>
          <w:jc w:val="center"/>
        </w:trPr>
        <w:tc>
          <w:tcPr>
            <w:tcW w:w="1264"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新疆</w:t>
            </w:r>
          </w:p>
        </w:tc>
        <w:tc>
          <w:tcPr>
            <w:tcW w:w="7588" w:type="dxa"/>
            <w:gridSpan w:val="10"/>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文科未投计划</w:t>
            </w:r>
          </w:p>
        </w:tc>
      </w:tr>
    </w:tbl>
    <w:p w:rsidR="001F25F9" w:rsidRPr="00B14E30" w:rsidRDefault="001F25F9" w:rsidP="001F25F9">
      <w:pP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t>注：比例（%）=某分数段录取人数/本省区录取总人数。</w:t>
      </w:r>
    </w:p>
    <w:p w:rsidR="001F25F9" w:rsidRPr="00B14E30" w:rsidRDefault="001F25F9" w:rsidP="001F25F9">
      <w:pPr>
        <w:ind w:leftChars="201" w:left="422" w:firstLine="66"/>
        <w:rPr>
          <w:rFonts w:ascii="仿宋_GB2312" w:eastAsia="仿宋_GB2312" w:hAnsi="Times New Roman" w:cs="Times New Roman"/>
          <w:color w:val="000000" w:themeColor="text1"/>
          <w:szCs w:val="21"/>
        </w:rPr>
      </w:pPr>
      <w:r w:rsidRPr="00B14E30">
        <w:rPr>
          <w:rFonts w:ascii="Times New Roman" w:eastAsia="宋体" w:hAnsi="Times New Roman" w:cs="Times New Roman"/>
          <w:noProof/>
          <w:color w:val="000000" w:themeColor="text1"/>
          <w:szCs w:val="24"/>
        </w:rPr>
        <w:drawing>
          <wp:anchor distT="0" distB="0" distL="114300" distR="114300" simplePos="0" relativeHeight="251666432" behindDoc="0" locked="0" layoutInCell="1" allowOverlap="1">
            <wp:simplePos x="0" y="0"/>
            <wp:positionH relativeFrom="column">
              <wp:align>center</wp:align>
            </wp:positionH>
            <wp:positionV relativeFrom="paragraph">
              <wp:posOffset>693420</wp:posOffset>
            </wp:positionV>
            <wp:extent cx="3811270" cy="2235200"/>
            <wp:effectExtent l="0" t="0" r="1905" b="5080"/>
            <wp:wrapTopAndBottom/>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14E30">
        <w:rPr>
          <w:rFonts w:ascii="仿宋_GB2312" w:eastAsia="仿宋_GB2312" w:hAnsi="Times New Roman" w:cs="Times New Roman" w:hint="eastAsia"/>
          <w:color w:val="000000" w:themeColor="text1"/>
          <w:szCs w:val="21"/>
        </w:rPr>
        <w:t>A：二本控制线上至二本控制线加9分区间；B：二本控制线加10分至二本控制线加19分区间；C：二本控制线加20分至二本控制线加29分区间；D：二本控制线加30分至一本线下区间；E：一本线上区间。（以下图表所用的表示符号相同）。</w:t>
      </w:r>
    </w:p>
    <w:p w:rsidR="001F25F9" w:rsidRPr="00B14E30" w:rsidRDefault="001F25F9" w:rsidP="001F25F9">
      <w:pPr>
        <w:spacing w:line="560" w:lineRule="exact"/>
        <w:jc w:val="cente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 w:val="32"/>
          <w:szCs w:val="32"/>
        </w:rPr>
        <w:lastRenderedPageBreak/>
        <w:t>图1.2 辽宁省（文科）各分数段考生人数分布图</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图1.2可以看出，分数在二本控制线上至二本控制线加9分区间的考生比重为0，</w:t>
      </w:r>
      <w:r w:rsidR="00D9768B" w:rsidRPr="00B14E30">
        <w:rPr>
          <w:rFonts w:ascii="仿宋_GB2312" w:eastAsia="仿宋_GB2312" w:hAnsi="Times New Roman" w:cs="Times New Roman" w:hint="eastAsia"/>
          <w:color w:val="000000" w:themeColor="text1"/>
          <w:sz w:val="32"/>
          <w:szCs w:val="32"/>
        </w:rPr>
        <w:t>2014</w:t>
      </w:r>
      <w:r w:rsidRPr="00B14E30">
        <w:rPr>
          <w:rFonts w:ascii="仿宋_GB2312" w:eastAsia="仿宋_GB2312" w:hAnsi="Times New Roman" w:cs="Times New Roman" w:hint="eastAsia"/>
          <w:color w:val="000000" w:themeColor="text1"/>
          <w:sz w:val="32"/>
          <w:szCs w:val="32"/>
        </w:rPr>
        <w:t>年这一层次考生的比重为48.4%。而B段考生的比例则由去年的45.2%增加到62.5%，说明学院2015年文科考生分数段结构发生了根本性变化，考生质量得到进一步提高。</w:t>
      </w:r>
    </w:p>
    <w:p w:rsidR="001F25F9" w:rsidRPr="00B14E30" w:rsidRDefault="001F25F9" w:rsidP="001F25F9">
      <w:pPr>
        <w:tabs>
          <w:tab w:val="center" w:pos="4742"/>
        </w:tabs>
        <w:spacing w:line="560" w:lineRule="exact"/>
        <w:ind w:firstLineChars="200" w:firstLine="640"/>
        <w:rPr>
          <w:rFonts w:ascii="Times New Roman" w:eastAsia="宋体" w:hAnsi="Times New Roman" w:cs="Times New Roman"/>
          <w:color w:val="000000" w:themeColor="text1"/>
          <w:szCs w:val="24"/>
        </w:rPr>
      </w:pPr>
      <w:r w:rsidRPr="00B14E30">
        <w:rPr>
          <w:rFonts w:ascii="仿宋_GB2312" w:eastAsia="仿宋_GB2312" w:hAnsi="Times New Roman" w:cs="Times New Roman" w:hint="eastAsia"/>
          <w:color w:val="000000" w:themeColor="text1"/>
          <w:sz w:val="32"/>
          <w:szCs w:val="32"/>
        </w:rPr>
        <w:t xml:space="preserve">（2）理科         </w:t>
      </w:r>
      <w:r w:rsidRPr="00B14E30">
        <w:rPr>
          <w:rFonts w:ascii="Times New Roman" w:eastAsia="宋体" w:hAnsi="Times New Roman" w:cs="Times New Roman" w:hint="eastAsia"/>
          <w:color w:val="000000" w:themeColor="text1"/>
          <w:szCs w:val="24"/>
        </w:rPr>
        <w:t xml:space="preserve">        </w:t>
      </w:r>
      <w:r w:rsidRPr="00B14E30">
        <w:rPr>
          <w:rFonts w:ascii="Times New Roman" w:eastAsia="宋体" w:hAnsi="Times New Roman" w:cs="Times New Roman"/>
          <w:color w:val="000000" w:themeColor="text1"/>
          <w:szCs w:val="24"/>
        </w:rPr>
        <w:tab/>
      </w:r>
    </w:p>
    <w:p w:rsidR="001F25F9" w:rsidRPr="00B14E30" w:rsidRDefault="001F25F9" w:rsidP="001F25F9">
      <w:pPr>
        <w:spacing w:line="560" w:lineRule="exact"/>
        <w:jc w:val="cente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 w:val="32"/>
          <w:szCs w:val="32"/>
        </w:rPr>
        <w:t>表1.5 各省</w:t>
      </w:r>
      <w:r w:rsidR="004208FA" w:rsidRPr="00B14E30">
        <w:rPr>
          <w:rFonts w:ascii="仿宋_GB2312" w:eastAsia="仿宋_GB2312" w:hAnsi="Times New Roman" w:cs="Times New Roman" w:hint="eastAsia"/>
          <w:color w:val="000000" w:themeColor="text1"/>
          <w:sz w:val="32"/>
          <w:szCs w:val="32"/>
        </w:rPr>
        <w:t>区</w:t>
      </w:r>
      <w:r w:rsidRPr="00B14E30">
        <w:rPr>
          <w:rFonts w:ascii="仿宋_GB2312" w:eastAsia="仿宋_GB2312" w:hAnsi="Times New Roman" w:cs="Times New Roman" w:hint="eastAsia"/>
          <w:color w:val="000000" w:themeColor="text1"/>
          <w:sz w:val="32"/>
          <w:szCs w:val="32"/>
        </w:rPr>
        <w:t>（理科）各分数段考生人数分布情况表</w:t>
      </w:r>
    </w:p>
    <w:tbl>
      <w:tblPr>
        <w:tblW w:w="87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61"/>
        <w:gridCol w:w="1114"/>
        <w:gridCol w:w="1287"/>
        <w:gridCol w:w="1288"/>
        <w:gridCol w:w="1287"/>
        <w:gridCol w:w="1288"/>
        <w:gridCol w:w="1288"/>
      </w:tblGrid>
      <w:tr w:rsidR="00B14E30" w:rsidRPr="00B14E30" w:rsidTr="00CE6A93">
        <w:trPr>
          <w:trHeight w:val="285"/>
          <w:jc w:val="center"/>
        </w:trPr>
        <w:tc>
          <w:tcPr>
            <w:tcW w:w="1161"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省区</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项目</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A</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B</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C</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D</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E</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辽宁</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406</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63</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24.9%</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62.8%</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2.6%</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河北</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内蒙古</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吉林</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黑龙江</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山东</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31.8%</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18.2%</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陕西</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湖北</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77.8%</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广西</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四川</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贵州</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39</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83.0%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10.6%</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6.4%</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云南</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83.3%</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lastRenderedPageBreak/>
              <w:t>山西</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21</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75.0%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21.4%</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3.6%</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甘肃</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83.3%</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16.7%</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安徽</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河南</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40.0%</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60.0%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restart"/>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新疆</w:t>
            </w: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录取人数</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r w:rsidR="00B14E30" w:rsidRPr="00B14E30" w:rsidTr="00CE6A93">
        <w:trPr>
          <w:trHeight w:val="285"/>
          <w:jc w:val="center"/>
        </w:trPr>
        <w:tc>
          <w:tcPr>
            <w:tcW w:w="1161" w:type="dxa"/>
            <w:vMerge/>
            <w:vAlign w:val="center"/>
          </w:tcPr>
          <w:p w:rsidR="001F25F9" w:rsidRPr="00B14E30" w:rsidRDefault="001F25F9" w:rsidP="001F25F9">
            <w:pPr>
              <w:widowControl/>
              <w:jc w:val="left"/>
              <w:rPr>
                <w:rFonts w:ascii="仿宋_GB2312" w:eastAsia="仿宋_GB2312" w:hAnsi="宋体" w:cs="宋体"/>
                <w:color w:val="000000" w:themeColor="text1"/>
                <w:kern w:val="0"/>
                <w:szCs w:val="21"/>
              </w:rPr>
            </w:pPr>
          </w:p>
        </w:tc>
        <w:tc>
          <w:tcPr>
            <w:tcW w:w="111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比例</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18.2%</w:t>
            </w:r>
          </w:p>
        </w:tc>
        <w:tc>
          <w:tcPr>
            <w:tcW w:w="128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72.7</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9.1%</w:t>
            </w:r>
          </w:p>
        </w:tc>
        <w:tc>
          <w:tcPr>
            <w:tcW w:w="128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w:t>
            </w:r>
          </w:p>
        </w:tc>
      </w:tr>
    </w:tbl>
    <w:p w:rsidR="001F25F9" w:rsidRPr="00B14E30" w:rsidRDefault="001F25F9" w:rsidP="001F25F9">
      <w:pP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t>注：比例（%）=某分数段录取人数/本省区录取总人数。</w:t>
      </w:r>
    </w:p>
    <w:p w:rsidR="001F25F9" w:rsidRPr="00B14E30" w:rsidRDefault="001F25F9" w:rsidP="00D668E8">
      <w:pPr>
        <w:ind w:leftChars="202" w:left="424"/>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t>A：二本控制线上至二本控制线加9分区间；B：二本控制线加10分至二本控制线加19分区间；C：二本控制线加20分至二本控制线加29分区间；D：二本控制线加30分至一本线下区间；E：一本线上区间。</w:t>
      </w:r>
    </w:p>
    <w:p w:rsidR="001F25F9" w:rsidRPr="00B14E30" w:rsidRDefault="001F25F9" w:rsidP="001F25F9">
      <w:pPr>
        <w:ind w:firstLineChars="100" w:firstLine="210"/>
        <w:rPr>
          <w:rFonts w:ascii="仿宋_GB2312" w:eastAsia="仿宋_GB2312" w:hAnsi="Times New Roman" w:cs="Times New Roman"/>
          <w:color w:val="000000" w:themeColor="text1"/>
          <w:szCs w:val="21"/>
        </w:rPr>
      </w:pPr>
      <w:r w:rsidRPr="00B14E30">
        <w:rPr>
          <w:rFonts w:ascii="仿宋_GB2312" w:eastAsia="仿宋_GB2312" w:hAnsi="Times New Roman" w:cs="Times New Roman"/>
          <w:noProof/>
          <w:color w:val="000000" w:themeColor="text1"/>
          <w:szCs w:val="21"/>
        </w:rPr>
        <w:drawing>
          <wp:inline distT="0" distB="0" distL="0" distR="0">
            <wp:extent cx="5295265" cy="3104515"/>
            <wp:effectExtent l="0" t="0" r="0" b="0"/>
            <wp:docPr id="15"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25F9" w:rsidRPr="00B14E30" w:rsidRDefault="001F25F9" w:rsidP="00D668E8">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图1.3 辽宁省（理科）各分数段考生人数分布图</w:t>
      </w:r>
    </w:p>
    <w:p w:rsidR="001F25F9" w:rsidRPr="00B14E30" w:rsidRDefault="001F25F9" w:rsidP="00D668E8">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2015年理科考生分数段分布发生明显变化的地方是A段考生由去年的57.3%锐减至25%，而B段考生则由去年的34%增加至63%，说明二本控制线上10—19分区间的考生首次成为报考我院的主体，这对学院自身定位及</w:t>
      </w:r>
      <w:r w:rsidR="00D668E8" w:rsidRPr="00B14E30">
        <w:rPr>
          <w:rFonts w:ascii="仿宋_GB2312" w:eastAsia="仿宋_GB2312" w:hAnsi="Times New Roman" w:cs="Times New Roman" w:hint="eastAsia"/>
          <w:color w:val="000000" w:themeColor="text1"/>
          <w:sz w:val="32"/>
          <w:szCs w:val="32"/>
        </w:rPr>
        <w:t>今年</w:t>
      </w:r>
      <w:r w:rsidRPr="00B14E30">
        <w:rPr>
          <w:rFonts w:ascii="仿宋_GB2312" w:eastAsia="仿宋_GB2312" w:hAnsi="Times New Roman" w:cs="Times New Roman" w:hint="eastAsia"/>
          <w:color w:val="000000" w:themeColor="text1"/>
          <w:sz w:val="32"/>
          <w:szCs w:val="32"/>
        </w:rPr>
        <w:t>的招生宣传工作都有一定</w:t>
      </w:r>
      <w:r w:rsidRPr="00B14E30">
        <w:rPr>
          <w:rFonts w:ascii="仿宋_GB2312" w:eastAsia="仿宋_GB2312" w:hAnsi="Times New Roman" w:cs="Times New Roman" w:hint="eastAsia"/>
          <w:color w:val="000000" w:themeColor="text1"/>
          <w:sz w:val="32"/>
          <w:szCs w:val="32"/>
        </w:rPr>
        <w:lastRenderedPageBreak/>
        <w:t>的积极意义。值得注意的是D段考生也由原来的0.6%增加至2%，说明有一部分高分考生也开始积极主动报考我院。</w:t>
      </w:r>
    </w:p>
    <w:p w:rsidR="001F25F9" w:rsidRPr="00B14E30" w:rsidRDefault="001F25F9" w:rsidP="00D668E8">
      <w:pPr>
        <w:tabs>
          <w:tab w:val="left" w:pos="6135"/>
        </w:tabs>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4．各专业第一志愿情况分析</w:t>
      </w:r>
    </w:p>
    <w:p w:rsidR="001F25F9" w:rsidRPr="00B14E30" w:rsidRDefault="001F25F9" w:rsidP="00D668E8">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表1.6 各省区各专业（理科）第一志愿报名人数统计表</w:t>
      </w:r>
    </w:p>
    <w:tbl>
      <w:tblPr>
        <w:tblpPr w:leftFromText="180" w:rightFromText="180" w:vertAnchor="text" w:tblpXSpec="center" w:tblpY="1"/>
        <w:tblW w:w="99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95"/>
        <w:gridCol w:w="576"/>
        <w:gridCol w:w="437"/>
        <w:gridCol w:w="437"/>
        <w:gridCol w:w="436"/>
        <w:gridCol w:w="436"/>
        <w:gridCol w:w="436"/>
        <w:gridCol w:w="436"/>
        <w:gridCol w:w="436"/>
        <w:gridCol w:w="436"/>
        <w:gridCol w:w="436"/>
        <w:gridCol w:w="436"/>
        <w:gridCol w:w="436"/>
        <w:gridCol w:w="436"/>
        <w:gridCol w:w="436"/>
        <w:gridCol w:w="436"/>
        <w:gridCol w:w="436"/>
        <w:gridCol w:w="436"/>
        <w:gridCol w:w="636"/>
        <w:gridCol w:w="1009"/>
      </w:tblGrid>
      <w:tr w:rsidR="00B14E30" w:rsidRPr="00B14E30" w:rsidTr="00CE6A93">
        <w:trPr>
          <w:trHeight w:val="810"/>
          <w:jc w:val="center"/>
        </w:trPr>
        <w:tc>
          <w:tcPr>
            <w:tcW w:w="795"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专业</w:t>
            </w:r>
          </w:p>
        </w:tc>
        <w:tc>
          <w:tcPr>
            <w:tcW w:w="57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辽宁</w:t>
            </w:r>
          </w:p>
        </w:tc>
        <w:tc>
          <w:tcPr>
            <w:tcW w:w="437"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河北</w:t>
            </w:r>
          </w:p>
        </w:tc>
        <w:tc>
          <w:tcPr>
            <w:tcW w:w="437"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内蒙古</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吉林</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黑龙江</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山东</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陕西</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湖北</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广西</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四川</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贵州</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云南</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山西</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甘肃</w:t>
            </w:r>
          </w:p>
        </w:tc>
        <w:tc>
          <w:tcPr>
            <w:tcW w:w="436" w:type="dxa"/>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安徽</w:t>
            </w:r>
          </w:p>
        </w:tc>
        <w:tc>
          <w:tcPr>
            <w:tcW w:w="436" w:type="dxa"/>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河南</w:t>
            </w:r>
          </w:p>
        </w:tc>
        <w:tc>
          <w:tcPr>
            <w:tcW w:w="4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新疆</w:t>
            </w:r>
          </w:p>
        </w:tc>
        <w:tc>
          <w:tcPr>
            <w:tcW w:w="636"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总计</w:t>
            </w:r>
          </w:p>
        </w:tc>
        <w:tc>
          <w:tcPr>
            <w:tcW w:w="1009"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占总</w:t>
            </w:r>
          </w:p>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比例</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应化</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41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60</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6.24%</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机制</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231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370</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38.46%</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材控</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10</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19</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1.98%</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材料</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14</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28</w:t>
            </w:r>
          </w:p>
        </w:tc>
        <w:tc>
          <w:tcPr>
            <w:tcW w:w="1009" w:type="dxa"/>
            <w:shd w:val="clear" w:color="auto" w:fill="auto"/>
            <w:noWrap/>
            <w:vAlign w:val="center"/>
          </w:tcPr>
          <w:p w:rsidR="001F25F9" w:rsidRPr="00B14E30" w:rsidRDefault="001F25F9" w:rsidP="001F25F9">
            <w:pPr>
              <w:jc w:val="center"/>
              <w:rPr>
                <w:rFonts w:ascii="仿宋_GB2312" w:eastAsia="仿宋_GB2312" w:hAnsi="宋体" w:cs="Times New Roman"/>
                <w:color w:val="000000" w:themeColor="text1"/>
                <w:szCs w:val="24"/>
              </w:rPr>
            </w:pPr>
            <w:r w:rsidRPr="00B14E30">
              <w:rPr>
                <w:rFonts w:ascii="仿宋_GB2312" w:eastAsia="仿宋_GB2312" w:hAnsi="宋体" w:cs="Times New Roman" w:hint="eastAsia"/>
                <w:color w:val="000000" w:themeColor="text1"/>
                <w:szCs w:val="24"/>
              </w:rPr>
              <w:t>2.91%</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无机非</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6</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15</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1.56%</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电气</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181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7</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232</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24.1%</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自动化</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48</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79</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8.21%</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化工</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22</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r w:rsidRPr="00B14E30">
              <w:rPr>
                <w:rFonts w:ascii="仿宋_GB2312" w:eastAsia="仿宋_GB2312" w:hAnsi="Times New Roman" w:cs="Times New Roman" w:hint="eastAsia"/>
                <w:color w:val="000000" w:themeColor="text1"/>
                <w:szCs w:val="24"/>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40</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4.16%</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物流</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94</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119</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12.37%</w:t>
            </w:r>
          </w:p>
        </w:tc>
      </w:tr>
      <w:tr w:rsidR="00B14E30" w:rsidRPr="00B14E30" w:rsidTr="00CE6A93">
        <w:trPr>
          <w:trHeight w:val="450"/>
          <w:jc w:val="center"/>
        </w:trPr>
        <w:tc>
          <w:tcPr>
            <w:tcW w:w="79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总计</w:t>
            </w:r>
          </w:p>
        </w:tc>
        <w:tc>
          <w:tcPr>
            <w:tcW w:w="57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r w:rsidRPr="00B14E30">
              <w:rPr>
                <w:rFonts w:ascii="仿宋_GB2312" w:eastAsia="仿宋_GB2312" w:hAnsi="宋体" w:cs="宋体" w:hint="eastAsia"/>
                <w:color w:val="000000" w:themeColor="text1"/>
                <w:sz w:val="24"/>
                <w:szCs w:val="24"/>
              </w:rPr>
              <w:t>647</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27</w:t>
            </w:r>
          </w:p>
        </w:tc>
        <w:tc>
          <w:tcPr>
            <w:tcW w:w="43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47</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436"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436"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636"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Cs w:val="21"/>
              </w:rPr>
            </w:pPr>
            <w:r w:rsidRPr="00B14E30">
              <w:rPr>
                <w:rFonts w:ascii="仿宋_GB2312" w:eastAsia="仿宋_GB2312" w:hAnsi="宋体" w:cs="宋体" w:hint="eastAsia"/>
                <w:color w:val="000000" w:themeColor="text1"/>
                <w:szCs w:val="21"/>
              </w:rPr>
              <w:t>962</w:t>
            </w:r>
          </w:p>
        </w:tc>
        <w:tc>
          <w:tcPr>
            <w:tcW w:w="1009" w:type="dxa"/>
            <w:shd w:val="clear" w:color="auto" w:fill="auto"/>
            <w:noWrap/>
            <w:vAlign w:val="center"/>
          </w:tcPr>
          <w:p w:rsidR="001F25F9" w:rsidRPr="00B14E30" w:rsidRDefault="001F25F9" w:rsidP="001F25F9">
            <w:pPr>
              <w:jc w:val="center"/>
              <w:rPr>
                <w:rFonts w:ascii="仿宋_GB2312" w:eastAsia="仿宋_GB2312" w:hAnsi="宋体" w:cs="宋体"/>
                <w:color w:val="000000" w:themeColor="text1"/>
                <w:sz w:val="24"/>
                <w:szCs w:val="24"/>
              </w:rPr>
            </w:pPr>
          </w:p>
        </w:tc>
      </w:tr>
    </w:tbl>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rPr>
          <w:rFonts w:ascii="仿宋_GB2312" w:eastAsia="仿宋_GB2312" w:hAnsi="Times New Roman" w:cs="Times New Roman"/>
          <w:color w:val="000000" w:themeColor="text1"/>
          <w:sz w:val="32"/>
          <w:szCs w:val="32"/>
        </w:rPr>
      </w:pPr>
      <w:r w:rsidRPr="00B14E30">
        <w:rPr>
          <w:rFonts w:ascii="Times New Roman" w:eastAsia="宋体" w:hAnsi="Times New Roman" w:cs="Times New Roman"/>
          <w:noProof/>
          <w:color w:val="000000" w:themeColor="text1"/>
          <w:szCs w:val="24"/>
        </w:rPr>
        <w:drawing>
          <wp:anchor distT="0" distB="0" distL="114300" distR="114300" simplePos="0" relativeHeight="251667456" behindDoc="1" locked="0" layoutInCell="1" allowOverlap="1">
            <wp:simplePos x="0" y="0"/>
            <wp:positionH relativeFrom="column">
              <wp:posOffset>951865</wp:posOffset>
            </wp:positionH>
            <wp:positionV relativeFrom="paragraph">
              <wp:posOffset>3175</wp:posOffset>
            </wp:positionV>
            <wp:extent cx="3712210" cy="2606040"/>
            <wp:effectExtent l="0" t="635" r="4445" b="3175"/>
            <wp:wrapTight wrapText="bothSides">
              <wp:wrapPolygon edited="0">
                <wp:start x="55" y="237"/>
                <wp:lineTo x="55" y="21284"/>
                <wp:lineTo x="21489" y="21284"/>
                <wp:lineTo x="21489" y="237"/>
                <wp:lineTo x="55" y="237"/>
              </wp:wrapPolygon>
            </wp:wrapTight>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jc w:val="center"/>
        <w:rPr>
          <w:rFonts w:ascii="仿宋_GB2312" w:eastAsia="仿宋_GB2312" w:hAnsi="Times New Roman" w:cs="Times New Roman"/>
          <w:color w:val="000000" w:themeColor="text1"/>
          <w:sz w:val="32"/>
          <w:szCs w:val="32"/>
        </w:rPr>
      </w:pP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lastRenderedPageBreak/>
        <w:t>图1.4 辽宁省（理科）各专业第一志愿人数比例图</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图1.4表明，2015年辽宁省考生第一志愿</w:t>
      </w:r>
      <w:r w:rsidR="00CD28D2" w:rsidRPr="00B14E30">
        <w:rPr>
          <w:rFonts w:ascii="仿宋_GB2312" w:eastAsia="仿宋_GB2312" w:hAnsi="Times New Roman" w:cs="Times New Roman" w:hint="eastAsia"/>
          <w:color w:val="000000" w:themeColor="text1"/>
          <w:sz w:val="32"/>
          <w:szCs w:val="32"/>
        </w:rPr>
        <w:t>专业填报比例由高到低依次为</w:t>
      </w:r>
      <w:r w:rsidRPr="00B14E30">
        <w:rPr>
          <w:rFonts w:ascii="仿宋_GB2312" w:eastAsia="仿宋_GB2312" w:hAnsi="Times New Roman" w:cs="Times New Roman" w:hint="eastAsia"/>
          <w:color w:val="000000" w:themeColor="text1"/>
          <w:sz w:val="32"/>
          <w:szCs w:val="32"/>
        </w:rPr>
        <w:t>机制、电气、物流、自动化、应化、化工、材料、材控和无机非，其中机制的填报比例36%，电气的填报比例28%，远超其它专业，连续两年成为我院报考最热门的专业。</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5．生源自然情况分析</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（1）生源性别分析</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 xml:space="preserve">表1.7 </w:t>
      </w:r>
      <w:r w:rsidR="00CD28D2" w:rsidRPr="00B14E30">
        <w:rPr>
          <w:rFonts w:ascii="仿宋_GB2312" w:eastAsia="仿宋_GB2312" w:hAnsi="Times New Roman" w:cs="Times New Roman" w:hint="eastAsia"/>
          <w:color w:val="000000" w:themeColor="text1"/>
          <w:sz w:val="32"/>
          <w:szCs w:val="32"/>
        </w:rPr>
        <w:t>分</w:t>
      </w:r>
      <w:r w:rsidRPr="00B14E30">
        <w:rPr>
          <w:rFonts w:ascii="仿宋_GB2312" w:eastAsia="仿宋_GB2312" w:hAnsi="Times New Roman" w:cs="Times New Roman" w:hint="eastAsia"/>
          <w:color w:val="000000" w:themeColor="text1"/>
          <w:sz w:val="32"/>
          <w:szCs w:val="32"/>
        </w:rPr>
        <w:t>专业男女性别比例表</w:t>
      </w:r>
    </w:p>
    <w:tbl>
      <w:tblPr>
        <w:tblW w:w="8847" w:type="dxa"/>
        <w:jc w:val="center"/>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260"/>
        <w:gridCol w:w="1080"/>
        <w:gridCol w:w="1080"/>
        <w:gridCol w:w="757"/>
        <w:gridCol w:w="1440"/>
        <w:gridCol w:w="1070"/>
        <w:gridCol w:w="1080"/>
        <w:gridCol w:w="1080"/>
      </w:tblGrid>
      <w:tr w:rsidR="00B14E30" w:rsidRPr="00B14E30" w:rsidTr="00CE6A93">
        <w:trPr>
          <w:trHeight w:val="540"/>
          <w:jc w:val="center"/>
        </w:trPr>
        <w:tc>
          <w:tcPr>
            <w:tcW w:w="126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专业</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男生</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占专业</w:t>
            </w:r>
          </w:p>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比例</w:t>
            </w:r>
          </w:p>
        </w:tc>
        <w:tc>
          <w:tcPr>
            <w:tcW w:w="757"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女生</w:t>
            </w:r>
          </w:p>
        </w:tc>
        <w:tc>
          <w:tcPr>
            <w:tcW w:w="144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占专业比例</w:t>
            </w:r>
          </w:p>
        </w:tc>
        <w:tc>
          <w:tcPr>
            <w:tcW w:w="107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2015年</w:t>
            </w:r>
          </w:p>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比例</w:t>
            </w:r>
          </w:p>
        </w:tc>
        <w:tc>
          <w:tcPr>
            <w:tcW w:w="1080" w:type="dxa"/>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2014年比例</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2013年比例</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应化</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50.8%</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59</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49.2%</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1.2:1</w:t>
            </w:r>
          </w:p>
        </w:tc>
        <w:tc>
          <w:tcPr>
            <w:tcW w:w="108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 xml:space="preserve">　</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机制</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115</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95.8%</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8.2:1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8.3:1</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材控</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98</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81.7%</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18.3%</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7:1</w:t>
            </w:r>
          </w:p>
        </w:tc>
        <w:tc>
          <w:tcPr>
            <w:tcW w:w="108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 xml:space="preserve">　</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材料</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86</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71.7%</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28.3%</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无机</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46</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74.2%</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25.8%</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2.9:1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2.6:1</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电气</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92</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76.7%</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23.3%</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4.7:1</w:t>
            </w:r>
          </w:p>
        </w:tc>
        <w:tc>
          <w:tcPr>
            <w:tcW w:w="1080" w:type="dxa"/>
            <w:shd w:val="clear" w:color="auto" w:fill="auto"/>
            <w:noWrap/>
            <w:vAlign w:val="center"/>
          </w:tcPr>
          <w:p w:rsidR="001F25F9" w:rsidRPr="00B14E30" w:rsidRDefault="001F25F9" w:rsidP="001F25F9">
            <w:pPr>
              <w:widowControl/>
              <w:jc w:val="left"/>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 xml:space="preserve">　</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自动化</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93</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77.5%</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27</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22.5%</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3.6:1</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化工</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68</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56.7%</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52</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43.3%</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1.7:1</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物流</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35.0%</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78</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65.0%</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0.54:1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0.7:1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1:2</w:t>
            </w:r>
          </w:p>
        </w:tc>
      </w:tr>
      <w:tr w:rsidR="00B14E30" w:rsidRPr="00B14E30" w:rsidTr="00CE6A93">
        <w:trPr>
          <w:trHeight w:val="300"/>
          <w:jc w:val="center"/>
        </w:trPr>
        <w:tc>
          <w:tcPr>
            <w:tcW w:w="126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合计</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701</w:t>
            </w:r>
          </w:p>
        </w:tc>
        <w:tc>
          <w:tcPr>
            <w:tcW w:w="10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68.6%</w:t>
            </w:r>
          </w:p>
        </w:tc>
        <w:tc>
          <w:tcPr>
            <w:tcW w:w="7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321</w:t>
            </w:r>
          </w:p>
        </w:tc>
        <w:tc>
          <w:tcPr>
            <w:tcW w:w="144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31.4%</w:t>
            </w:r>
          </w:p>
        </w:tc>
        <w:tc>
          <w:tcPr>
            <w:tcW w:w="107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2.2:1</w:t>
            </w:r>
          </w:p>
        </w:tc>
        <w:tc>
          <w:tcPr>
            <w:tcW w:w="1080" w:type="dxa"/>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2.6:1</w:t>
            </w:r>
          </w:p>
        </w:tc>
        <w:tc>
          <w:tcPr>
            <w:tcW w:w="1080" w:type="dxa"/>
            <w:shd w:val="clear" w:color="auto" w:fill="auto"/>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2:1</w:t>
            </w:r>
          </w:p>
        </w:tc>
      </w:tr>
    </w:tbl>
    <w:p w:rsidR="001F25F9" w:rsidRPr="00B14E30" w:rsidRDefault="001F25F9" w:rsidP="001F25F9">
      <w:pPr>
        <w:spacing w:line="52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2015年学院男女比例为2.2:1，较2014年有所下降。其中，机制专业男女比例失衡严重，仅为 23:1。物流管理专业由于文理兼招，女生人数要多于男生。</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（2）生源类别分析</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表1.8 2015级新生生源类别</w:t>
      </w:r>
    </w:p>
    <w:tbl>
      <w:tblPr>
        <w:tblW w:w="0" w:type="auto"/>
        <w:jc w:val="center"/>
        <w:tblInd w:w="-4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60"/>
        <w:gridCol w:w="2403"/>
        <w:gridCol w:w="2403"/>
      </w:tblGrid>
      <w:tr w:rsidR="00B14E30" w:rsidRPr="00B14E30" w:rsidTr="00CE6A93">
        <w:trPr>
          <w:trHeight w:val="355"/>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类别</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人数</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所占比例</w:t>
            </w:r>
          </w:p>
        </w:tc>
      </w:tr>
      <w:tr w:rsidR="00B14E30" w:rsidRPr="00B14E30" w:rsidTr="00CE6A93">
        <w:trPr>
          <w:trHeight w:val="355"/>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城镇往届</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42</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4.11%</w:t>
            </w:r>
          </w:p>
        </w:tc>
      </w:tr>
      <w:tr w:rsidR="00B14E30" w:rsidRPr="00B14E30" w:rsidTr="00CE6A93">
        <w:trPr>
          <w:trHeight w:val="342"/>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城镇应届</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389</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38.06%</w:t>
            </w:r>
          </w:p>
        </w:tc>
      </w:tr>
      <w:tr w:rsidR="00B14E30" w:rsidRPr="00B14E30" w:rsidTr="00CE6A93">
        <w:trPr>
          <w:trHeight w:val="355"/>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农村往届</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108</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10.57%</w:t>
            </w:r>
          </w:p>
        </w:tc>
      </w:tr>
      <w:tr w:rsidR="00B14E30" w:rsidRPr="00B14E30" w:rsidTr="00CE6A93">
        <w:trPr>
          <w:trHeight w:val="355"/>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lastRenderedPageBreak/>
              <w:t>农村应届</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482</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47.16%</w:t>
            </w:r>
          </w:p>
        </w:tc>
      </w:tr>
      <w:tr w:rsidR="00B14E30" w:rsidRPr="00B14E30" w:rsidTr="00CE6A93">
        <w:trPr>
          <w:trHeight w:val="368"/>
          <w:jc w:val="center"/>
        </w:trPr>
        <w:tc>
          <w:tcPr>
            <w:tcW w:w="28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农转城应</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2403"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0.10%</w:t>
            </w:r>
          </w:p>
        </w:tc>
      </w:tr>
    </w:tbl>
    <w:p w:rsidR="001F25F9" w:rsidRPr="00B14E30" w:rsidRDefault="001F25F9" w:rsidP="001F25F9">
      <w:pPr>
        <w:jc w:val="center"/>
        <w:rPr>
          <w:rFonts w:ascii="仿宋_GB2312" w:eastAsia="仿宋_GB2312" w:hAnsi="Times New Roman" w:cs="Times New Roman"/>
          <w:color w:val="000000" w:themeColor="text1"/>
          <w:sz w:val="32"/>
          <w:szCs w:val="32"/>
        </w:rPr>
      </w:pPr>
      <w:r w:rsidRPr="00B14E30">
        <w:rPr>
          <w:rFonts w:ascii="Times New Roman" w:eastAsia="宋体" w:hAnsi="Times New Roman" w:cs="Times New Roman"/>
          <w:noProof/>
          <w:color w:val="000000" w:themeColor="text1"/>
          <w:szCs w:val="24"/>
        </w:rPr>
        <w:drawing>
          <wp:inline distT="0" distB="0" distL="0" distR="0">
            <wp:extent cx="4592955" cy="3274695"/>
            <wp:effectExtent l="0" t="0" r="0" b="0"/>
            <wp:docPr id="14" name="图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图1.5 2015级新生生源类别比例图</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由图1.5可知，我院2015年录取的新生中，农村考生占57.83%，略高于城镇考生。</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（3）生源民族分析</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表1.9  2015级新生民族成分表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330"/>
        <w:gridCol w:w="1330"/>
        <w:gridCol w:w="1114"/>
        <w:gridCol w:w="4014"/>
      </w:tblGrid>
      <w:tr w:rsidR="00B14E30" w:rsidRPr="00B14E30" w:rsidTr="00CE6A93">
        <w:trPr>
          <w:trHeight w:hRule="exact" w:val="535"/>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b/>
                <w:color w:val="000000" w:themeColor="text1"/>
                <w:szCs w:val="21"/>
              </w:rPr>
            </w:pPr>
            <w:r w:rsidRPr="00B14E30">
              <w:rPr>
                <w:rFonts w:ascii="仿宋_GB2312" w:eastAsia="仿宋_GB2312" w:hAnsi="黑体" w:cs="Times New Roman" w:hint="eastAsia"/>
                <w:b/>
                <w:color w:val="000000" w:themeColor="text1"/>
                <w:szCs w:val="21"/>
              </w:rPr>
              <w:t>序号</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b/>
                <w:color w:val="000000" w:themeColor="text1"/>
                <w:szCs w:val="21"/>
              </w:rPr>
            </w:pPr>
            <w:r w:rsidRPr="00B14E30">
              <w:rPr>
                <w:rFonts w:ascii="仿宋_GB2312" w:eastAsia="仿宋_GB2312" w:hAnsi="黑体" w:cs="Times New Roman" w:hint="eastAsia"/>
                <w:b/>
                <w:color w:val="000000" w:themeColor="text1"/>
                <w:szCs w:val="21"/>
              </w:rPr>
              <w:t>名族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b/>
                <w:color w:val="000000" w:themeColor="text1"/>
                <w:szCs w:val="21"/>
              </w:rPr>
            </w:pPr>
            <w:r w:rsidRPr="00B14E30">
              <w:rPr>
                <w:rFonts w:ascii="仿宋_GB2312" w:eastAsia="仿宋_GB2312" w:hAnsi="黑体" w:cs="Times New Roman" w:hint="eastAsia"/>
                <w:b/>
                <w:color w:val="000000" w:themeColor="text1"/>
                <w:szCs w:val="21"/>
              </w:rPr>
              <w:t>人数</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b/>
                <w:color w:val="000000" w:themeColor="text1"/>
                <w:szCs w:val="21"/>
              </w:rPr>
            </w:pPr>
            <w:r w:rsidRPr="00B14E30">
              <w:rPr>
                <w:rFonts w:ascii="仿宋_GB2312" w:eastAsia="仿宋_GB2312" w:hAnsi="黑体" w:cs="Times New Roman" w:hint="eastAsia"/>
                <w:b/>
                <w:color w:val="000000" w:themeColor="text1"/>
                <w:szCs w:val="21"/>
              </w:rPr>
              <w:t>所在省区</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汉族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840</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各招生省区均有</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满族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126</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辽宁、黑龙江、河北、内蒙古、云南</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3</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蒙古族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29</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辽宁、内蒙古</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4</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回族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5</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辽宁、河北、新疆、陕西</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5</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苗族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4</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6</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侗族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3</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7</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土家族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3</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8</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朝鲜族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辽宁、吉林</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lastRenderedPageBreak/>
              <w:t>9</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锡伯族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辽宁</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10</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布依族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11</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彝族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贵州、云南</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12</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壮族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2</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广西</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13</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水族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贵州</w:t>
            </w:r>
          </w:p>
        </w:tc>
      </w:tr>
      <w:tr w:rsidR="00B14E30" w:rsidRPr="00B14E30" w:rsidTr="00CE6A93">
        <w:trPr>
          <w:trHeight w:hRule="exact" w:val="397"/>
          <w:jc w:val="center"/>
        </w:trPr>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14</w:t>
            </w:r>
          </w:p>
        </w:tc>
        <w:tc>
          <w:tcPr>
            <w:tcW w:w="1330"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瑶族</w:t>
            </w:r>
          </w:p>
        </w:tc>
        <w:tc>
          <w:tcPr>
            <w:tcW w:w="11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1</w:t>
            </w:r>
          </w:p>
        </w:tc>
        <w:tc>
          <w:tcPr>
            <w:tcW w:w="4014" w:type="dxa"/>
            <w:shd w:val="clear" w:color="auto" w:fill="auto"/>
            <w:vAlign w:val="center"/>
          </w:tcPr>
          <w:p w:rsidR="001F25F9" w:rsidRPr="00B14E30" w:rsidRDefault="001F25F9" w:rsidP="001F25F9">
            <w:pPr>
              <w:jc w:val="center"/>
              <w:rPr>
                <w:rFonts w:ascii="仿宋_GB2312" w:eastAsia="仿宋_GB2312" w:hAnsi="黑体" w:cs="Times New Roman"/>
                <w:color w:val="000000" w:themeColor="text1"/>
                <w:szCs w:val="21"/>
              </w:rPr>
            </w:pPr>
            <w:r w:rsidRPr="00B14E30">
              <w:rPr>
                <w:rFonts w:ascii="仿宋_GB2312" w:eastAsia="仿宋_GB2312" w:hAnsi="黑体" w:cs="Times New Roman" w:hint="eastAsia"/>
                <w:color w:val="000000" w:themeColor="text1"/>
                <w:szCs w:val="21"/>
              </w:rPr>
              <w:t>广西</w:t>
            </w:r>
          </w:p>
        </w:tc>
      </w:tr>
    </w:tbl>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2015年我院录取新生中民族</w:t>
      </w:r>
      <w:r w:rsidR="003C0EA8" w:rsidRPr="00B14E30">
        <w:rPr>
          <w:rFonts w:ascii="仿宋_GB2312" w:eastAsia="仿宋_GB2312" w:hAnsi="Times New Roman" w:cs="Times New Roman" w:hint="eastAsia"/>
          <w:color w:val="000000" w:themeColor="text1"/>
          <w:sz w:val="32"/>
          <w:szCs w:val="32"/>
        </w:rPr>
        <w:t>种类</w:t>
      </w:r>
      <w:r w:rsidRPr="00B14E30">
        <w:rPr>
          <w:rFonts w:ascii="仿宋_GB2312" w:eastAsia="仿宋_GB2312" w:hAnsi="Times New Roman" w:cs="Times New Roman" w:hint="eastAsia"/>
          <w:color w:val="000000" w:themeColor="text1"/>
          <w:sz w:val="32"/>
          <w:szCs w:val="32"/>
        </w:rPr>
        <w:t>达到了14个，较2014年增加了2个民族。少数民族人数比例略有提高，其中，满族和蒙古族人数分别为126人和29人，其余少数民族成分中，有6个民族来自贵州省。</w:t>
      </w:r>
    </w:p>
    <w:p w:rsidR="001F25F9" w:rsidRPr="00B14E30" w:rsidRDefault="001F25F9" w:rsidP="00EC3F65">
      <w:pPr>
        <w:tabs>
          <w:tab w:val="left" w:pos="6425"/>
        </w:tabs>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6．辽宁省生源分布情况分析</w:t>
      </w:r>
    </w:p>
    <w:p w:rsidR="001F25F9" w:rsidRPr="00B14E30" w:rsidRDefault="001F25F9" w:rsidP="00EC3F65">
      <w:pPr>
        <w:tabs>
          <w:tab w:val="left" w:pos="6425"/>
        </w:tabs>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（1）辽宁省生源城市分布情况分析</w:t>
      </w:r>
    </w:p>
    <w:p w:rsidR="001F25F9" w:rsidRPr="00B14E30" w:rsidRDefault="001F25F9" w:rsidP="00EC3F65">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表1.10 辽宁省各市生源分布情况表</w:t>
      </w:r>
    </w:p>
    <w:tbl>
      <w:tblPr>
        <w:tblW w:w="8747" w:type="dxa"/>
        <w:jc w:val="center"/>
        <w:tblInd w:w="-1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92"/>
        <w:gridCol w:w="1815"/>
        <w:gridCol w:w="1948"/>
        <w:gridCol w:w="1457"/>
        <w:gridCol w:w="2135"/>
      </w:tblGrid>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城市</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考生数</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占辽宁考生数比例</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录取人数</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占辽宁生源人数比例</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沈阳</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39916</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17.2%</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78</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11.4%</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大连</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31663</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13.7%</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95</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14.0%</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鞍山</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16750</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7.2%</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抚顺</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10383</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36</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5.2%</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本溪</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8529</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3.7%</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5.1%</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丹东</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13955</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6.0%</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锦州</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15522</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6.7%</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5.6%</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营口</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color w:val="000000" w:themeColor="text1"/>
                <w:kern w:val="0"/>
                <w:szCs w:val="21"/>
              </w:rPr>
              <w:t>10001</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4.3%</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2.9%</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阜新</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10434</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46</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6.7%</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辽阳</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8000</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49</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7.1%</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铁岭</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color w:val="000000" w:themeColor="text1"/>
                <w:kern w:val="0"/>
                <w:szCs w:val="21"/>
              </w:rPr>
              <w:t>15721</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6.8%</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43</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6.3%</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朝阳</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color w:val="000000" w:themeColor="text1"/>
                <w:kern w:val="0"/>
                <w:szCs w:val="21"/>
              </w:rPr>
              <w:t>25547</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11.0%</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100</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14.6%</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盘锦</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color w:val="000000" w:themeColor="text1"/>
                <w:kern w:val="0"/>
                <w:szCs w:val="21"/>
              </w:rPr>
              <w:t>9683</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w:t>
            </w:r>
          </w:p>
        </w:tc>
      </w:tr>
      <w:tr w:rsidR="00B14E30" w:rsidRPr="00B14E30" w:rsidTr="00CE6A93">
        <w:trPr>
          <w:trHeight w:val="285"/>
          <w:jc w:val="center"/>
        </w:trPr>
        <w:tc>
          <w:tcPr>
            <w:tcW w:w="1392"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葫芦岛</w:t>
            </w:r>
          </w:p>
        </w:tc>
        <w:tc>
          <w:tcPr>
            <w:tcW w:w="181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16367</w:t>
            </w:r>
          </w:p>
        </w:tc>
        <w:tc>
          <w:tcPr>
            <w:tcW w:w="194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7.1%</w:t>
            </w:r>
          </w:p>
        </w:tc>
        <w:tc>
          <w:tcPr>
            <w:tcW w:w="1457"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w:t>
            </w:r>
          </w:p>
        </w:tc>
        <w:tc>
          <w:tcPr>
            <w:tcW w:w="2135"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8.9%</w:t>
            </w:r>
          </w:p>
        </w:tc>
      </w:tr>
    </w:tbl>
    <w:p w:rsidR="001F25F9" w:rsidRPr="00B14E30" w:rsidRDefault="001F25F9" w:rsidP="001F25F9">
      <w:pPr>
        <w:rPr>
          <w:rFonts w:ascii="仿宋_GB2312" w:eastAsia="仿宋_GB2312" w:hAnsi="Times New Roman" w:cs="Times New Roman"/>
          <w:color w:val="000000" w:themeColor="text1"/>
          <w:sz w:val="32"/>
          <w:szCs w:val="32"/>
        </w:rPr>
      </w:pPr>
    </w:p>
    <w:p w:rsidR="001F25F9" w:rsidRPr="00B14E30" w:rsidRDefault="001F25F9" w:rsidP="001F25F9">
      <w:pPr>
        <w:widowControl/>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4582795" cy="2732405"/>
            <wp:effectExtent l="0" t="0" r="8255" b="0"/>
            <wp:docPr id="13" name="图片 13" descr="[Z`D(XU5OC4LDC[KTDQ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Z`D(XU5OC4LDC[KTDQP%]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795" cy="2732405"/>
                    </a:xfrm>
                    <a:prstGeom prst="rect">
                      <a:avLst/>
                    </a:prstGeom>
                    <a:noFill/>
                    <a:ln>
                      <a:noFill/>
                    </a:ln>
                  </pic:spPr>
                </pic:pic>
              </a:graphicData>
            </a:graphic>
          </wp:inline>
        </w:drawing>
      </w:r>
    </w:p>
    <w:p w:rsidR="001F25F9" w:rsidRPr="00B14E30" w:rsidRDefault="001F25F9" w:rsidP="00EC3F65">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 xml:space="preserve">    图1.6 辽宁省各市考生数比例与录取考生人数比例对比图</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从图1.6看出，对比辽宁省各城市考生人数比例（此比例=该市2015年考生数/辽宁2015年全体考生数）与最终录取的考生生源比例（此比例=营口理工学院拟录取的该市考生数/营口理工学院拟录取的辽宁省生源的数目），沈阳、鞍山、营口、锦州、盘锦5个城市的考生比例差距较大，即考生人数占比大，但最终占学院生源比例较小，反映出在2015年的招生过程中，我院对这些地区的吸引力不足。而朝阳、葫芦岛和阜新等城市的录取生源人数比例远远超过该市所占辽宁省考生人数的比例，说明辽西地区对我院的认可度较高且我院在这一地区招生宣传工作做的比较扎实。</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（2）辽宁省生源重点高中分布情况分析</w:t>
      </w:r>
    </w:p>
    <w:p w:rsidR="001F25F9" w:rsidRPr="00B14E30" w:rsidRDefault="001F25F9" w:rsidP="00EC3F65">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表1.11 2013-2015年辽宁省生源重点高中统计表</w:t>
      </w:r>
    </w:p>
    <w:tbl>
      <w:tblPr>
        <w:tblW w:w="79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34"/>
        <w:gridCol w:w="2780"/>
        <w:gridCol w:w="1134"/>
        <w:gridCol w:w="1134"/>
        <w:gridCol w:w="1133"/>
        <w:gridCol w:w="998"/>
      </w:tblGrid>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序号</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中学名称</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2013年</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2014年</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2015年</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合计</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葫芦岛市第二高级中学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11</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14</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17</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42</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lastRenderedPageBreak/>
              <w:t>2</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凌源市第一高级中学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6</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11</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11</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28</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3</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灯塔市第一高级中学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0</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19</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28</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4</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阜新市高级中学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3</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12</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11</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26</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5</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阜蒙县蒙古高中</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9</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26</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6</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彰武县高级中学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11</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25</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本溪县高级中学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8</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25</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8</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建平县实验中学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3</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23</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9</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黑山一高中</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22</w:t>
            </w:r>
          </w:p>
        </w:tc>
      </w:tr>
      <w:tr w:rsidR="00B14E30" w:rsidRPr="00B14E30" w:rsidTr="00CE6A93">
        <w:trPr>
          <w:trHeight w:val="454"/>
          <w:jc w:val="center"/>
        </w:trPr>
        <w:tc>
          <w:tcPr>
            <w:tcW w:w="7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10</w:t>
            </w:r>
          </w:p>
        </w:tc>
        <w:tc>
          <w:tcPr>
            <w:tcW w:w="2780"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本溪市第二高级中学</w:t>
            </w:r>
          </w:p>
        </w:tc>
        <w:tc>
          <w:tcPr>
            <w:tcW w:w="1134"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8</w:t>
            </w:r>
          </w:p>
        </w:tc>
        <w:tc>
          <w:tcPr>
            <w:tcW w:w="1134"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1133" w:type="dxa"/>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7</w:t>
            </w:r>
          </w:p>
        </w:tc>
        <w:tc>
          <w:tcPr>
            <w:tcW w:w="998" w:type="dxa"/>
            <w:shd w:val="clear" w:color="auto" w:fill="auto"/>
            <w:noWrap/>
            <w:vAlign w:val="center"/>
          </w:tcPr>
          <w:p w:rsidR="001F25F9" w:rsidRPr="00B14E30" w:rsidRDefault="001F25F9" w:rsidP="001F25F9">
            <w:pPr>
              <w:widowControl/>
              <w:jc w:val="center"/>
              <w:rPr>
                <w:rFonts w:ascii="仿宋_GB2312" w:eastAsia="仿宋_GB2312" w:hAnsi="宋体" w:cs="宋体"/>
                <w:color w:val="000000" w:themeColor="text1"/>
                <w:kern w:val="0"/>
                <w:sz w:val="24"/>
                <w:szCs w:val="24"/>
              </w:rPr>
            </w:pPr>
            <w:r w:rsidRPr="00B14E30">
              <w:rPr>
                <w:rFonts w:ascii="仿宋_GB2312" w:eastAsia="仿宋_GB2312" w:hAnsi="宋体" w:cs="宋体" w:hint="eastAsia"/>
                <w:color w:val="000000" w:themeColor="text1"/>
                <w:kern w:val="0"/>
                <w:sz w:val="24"/>
                <w:szCs w:val="24"/>
              </w:rPr>
              <w:t>22</w:t>
            </w:r>
          </w:p>
        </w:tc>
      </w:tr>
    </w:tbl>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从表1.11看出，有7所生源重点高中位于辽西地区，且录取人数总体呈逐年递增趋势，说明我院在辽西地区的考生中倍受青睐，而且热度逐年升温，该地区也成为我院最为稳固的生源</w:t>
      </w:r>
      <w:r w:rsidR="003C0EA8" w:rsidRPr="00B14E30">
        <w:rPr>
          <w:rFonts w:ascii="仿宋_GB2312" w:eastAsia="仿宋_GB2312" w:hAnsi="Times New Roman" w:cs="Times New Roman" w:hint="eastAsia"/>
          <w:color w:val="000000" w:themeColor="text1"/>
          <w:sz w:val="32"/>
          <w:szCs w:val="32"/>
        </w:rPr>
        <w:t>来源</w:t>
      </w:r>
      <w:r w:rsidRPr="00B14E30">
        <w:rPr>
          <w:rFonts w:ascii="仿宋_GB2312" w:eastAsia="仿宋_GB2312" w:hAnsi="Times New Roman" w:cs="Times New Roman" w:hint="eastAsia"/>
          <w:color w:val="000000" w:themeColor="text1"/>
          <w:sz w:val="32"/>
          <w:szCs w:val="32"/>
        </w:rPr>
        <w:t>地。今后要加强与这些高中的联系，尝试在招生工作空档期进行走访宣传，进一步提升学院的整体形象。</w:t>
      </w:r>
    </w:p>
    <w:p w:rsidR="001F25F9" w:rsidRPr="00B14E30" w:rsidRDefault="001F25F9" w:rsidP="00EC3F65">
      <w:pPr>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t>（三）历年招生录取情况对比分析</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在对比学院</w:t>
      </w:r>
      <w:r w:rsidR="00842C0D" w:rsidRPr="00B14E30">
        <w:rPr>
          <w:rFonts w:ascii="仿宋_GB2312" w:eastAsia="仿宋_GB2312" w:hAnsi="Times New Roman" w:cs="Times New Roman" w:hint="eastAsia"/>
          <w:color w:val="000000" w:themeColor="text1"/>
          <w:sz w:val="32"/>
          <w:szCs w:val="32"/>
        </w:rPr>
        <w:t>历年</w:t>
      </w:r>
      <w:r w:rsidRPr="00B14E30">
        <w:rPr>
          <w:rFonts w:ascii="仿宋_GB2312" w:eastAsia="仿宋_GB2312" w:hAnsi="Times New Roman" w:cs="Times New Roman" w:hint="eastAsia"/>
          <w:color w:val="000000" w:themeColor="text1"/>
          <w:sz w:val="32"/>
          <w:szCs w:val="32"/>
        </w:rPr>
        <w:t>录取情况时，由于每年录取分数线的高低受高考试题难易程度影响很大，单纯地比较平均分差并不能准确地体现出历年生源质量的总体水平。为了消除高考试题难易的影响，我们对历年录取分数线进行标准化处理，具体处理方法：</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标准分数=专业平均分数/二本批次控制线</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现对2013、2014年文科均有计划投放的8个省区、理科均有计划投放的15个省区进行相关数据的对比。</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1．历年各省区标准分数对比分析</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（1）文科</w:t>
      </w:r>
    </w:p>
    <w:p w:rsidR="001F25F9" w:rsidRPr="00B14E30" w:rsidRDefault="001F25F9" w:rsidP="001F25F9">
      <w:pPr>
        <w:widowControl/>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5220335" cy="2870835"/>
            <wp:effectExtent l="0" t="0" r="0" b="5715"/>
            <wp:docPr id="12" name="图片 12" descr="$P[)KYPZ[2RP~7{O]`{I`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P[)KYPZ[2RP~7{O]`{I`8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335" cy="2870835"/>
                    </a:xfrm>
                    <a:prstGeom prst="rect">
                      <a:avLst/>
                    </a:prstGeom>
                    <a:noFill/>
                    <a:ln>
                      <a:noFill/>
                    </a:ln>
                  </pic:spPr>
                </pic:pic>
              </a:graphicData>
            </a:graphic>
          </wp:inline>
        </w:drawing>
      </w:r>
    </w:p>
    <w:p w:rsidR="001F25F9" w:rsidRPr="00B14E30" w:rsidRDefault="001F25F9" w:rsidP="00842C0D">
      <w:pPr>
        <w:spacing w:line="560" w:lineRule="exact"/>
        <w:jc w:val="center"/>
        <w:rPr>
          <w:rFonts w:ascii="仿宋_GB2312" w:eastAsia="仿宋_GB2312" w:hAnsi="宋体" w:cs="Times New Roman"/>
          <w:color w:val="000000" w:themeColor="text1"/>
          <w:sz w:val="32"/>
          <w:szCs w:val="32"/>
        </w:rPr>
      </w:pPr>
      <w:r w:rsidRPr="00B14E30">
        <w:rPr>
          <w:rFonts w:ascii="仿宋_GB2312" w:eastAsia="仿宋_GB2312" w:hAnsi="宋体" w:cs="Times New Roman" w:hint="eastAsia"/>
          <w:color w:val="000000" w:themeColor="text1"/>
          <w:sz w:val="32"/>
          <w:szCs w:val="32"/>
        </w:rPr>
        <w:t>图1.7 2013-2015年各省区（文科）标准分数对比图</w:t>
      </w:r>
    </w:p>
    <w:p w:rsidR="001F25F9" w:rsidRPr="00B14E30" w:rsidRDefault="001F25F9" w:rsidP="00842C0D">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图1.7中可以看出内蒙古、黑龙江文科标准分数涨幅相对明显，辽宁、山东文科成绩好于去年，山西文科成绩呈持续下滑状态。</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（2）理科</w:t>
      </w:r>
    </w:p>
    <w:p w:rsidR="001F25F9" w:rsidRPr="00B14E30" w:rsidRDefault="001F25F9" w:rsidP="001F25F9">
      <w:pPr>
        <w:widowControl/>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drawing>
          <wp:inline distT="0" distB="0" distL="0" distR="0">
            <wp:extent cx="4848225" cy="2647315"/>
            <wp:effectExtent l="0" t="0" r="9525" b="635"/>
            <wp:docPr id="11" name="图片 11" descr="(CWU%U6EDEFW~Y5NO_JJ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WU%U6EDEFW~Y5NO_JJN{S"/>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2647315"/>
                    </a:xfrm>
                    <a:prstGeom prst="rect">
                      <a:avLst/>
                    </a:prstGeom>
                    <a:noFill/>
                    <a:ln>
                      <a:noFill/>
                    </a:ln>
                  </pic:spPr>
                </pic:pic>
              </a:graphicData>
            </a:graphic>
          </wp:inline>
        </w:drawing>
      </w:r>
    </w:p>
    <w:p w:rsidR="001F25F9" w:rsidRPr="00B14E30" w:rsidRDefault="001F25F9" w:rsidP="00842C0D">
      <w:pPr>
        <w:spacing w:line="560" w:lineRule="exact"/>
        <w:jc w:val="center"/>
        <w:rPr>
          <w:rFonts w:ascii="仿宋_GB2312" w:eastAsia="仿宋_GB2312" w:hAnsi="宋体" w:cs="Times New Roman"/>
          <w:color w:val="000000" w:themeColor="text1"/>
          <w:sz w:val="32"/>
          <w:szCs w:val="32"/>
        </w:rPr>
      </w:pPr>
      <w:r w:rsidRPr="00B14E30">
        <w:rPr>
          <w:rFonts w:ascii="仿宋_GB2312" w:eastAsia="仿宋_GB2312" w:hAnsi="宋体" w:cs="Times New Roman" w:hint="eastAsia"/>
          <w:color w:val="000000" w:themeColor="text1"/>
          <w:sz w:val="32"/>
          <w:szCs w:val="32"/>
        </w:rPr>
        <w:t>图1.8 2013-2014年各省区（理科）标准分数对比图</w:t>
      </w:r>
    </w:p>
    <w:p w:rsidR="001F25F9" w:rsidRPr="00B14E30" w:rsidRDefault="001F25F9" w:rsidP="00842C0D">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lastRenderedPageBreak/>
        <w:t>2015年，东北三省及四川、广西、陕西、新疆的理科标准分数呈上升趋势；河北、黑龙江、内蒙古则连续三年呈现稳步增长态势；贵州、云南、甘肃分差下降幅度较大；山西、山东、湖北标准分数变化不大。</w:t>
      </w:r>
    </w:p>
    <w:p w:rsidR="001F25F9" w:rsidRPr="00B14E30" w:rsidRDefault="001F25F9" w:rsidP="00842C0D">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整体而言，2015年文科、理科标准分数好于前两年且提升幅度较大，辽宁、内蒙古、黑龙江标准分数均高于2014年且增长稳定，说明三个省</w:t>
      </w:r>
      <w:r w:rsidR="00842C0D" w:rsidRPr="00B14E30">
        <w:rPr>
          <w:rFonts w:ascii="仿宋_GB2312" w:eastAsia="仿宋_GB2312" w:hAnsi="Times New Roman" w:cs="Times New Roman" w:hint="eastAsia"/>
          <w:color w:val="000000" w:themeColor="text1"/>
          <w:sz w:val="32"/>
          <w:szCs w:val="32"/>
        </w:rPr>
        <w:t>区</w:t>
      </w:r>
      <w:r w:rsidRPr="00B14E30">
        <w:rPr>
          <w:rFonts w:ascii="仿宋_GB2312" w:eastAsia="仿宋_GB2312" w:hAnsi="Times New Roman" w:cs="Times New Roman" w:hint="eastAsia"/>
          <w:color w:val="000000" w:themeColor="text1"/>
          <w:sz w:val="32"/>
          <w:szCs w:val="32"/>
        </w:rPr>
        <w:t>的生源质量有所提高，但同时应对贵州、云南标准分数下滑幅度大及山西、湖北分差持续下滑的现象引起重视。</w:t>
      </w:r>
    </w:p>
    <w:p w:rsidR="001F25F9" w:rsidRPr="00B14E30" w:rsidRDefault="001F25F9" w:rsidP="00842C0D">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2．历年平均分与控制线分差对比分析</w:t>
      </w:r>
    </w:p>
    <w:p w:rsidR="001F25F9" w:rsidRPr="00B14E30" w:rsidRDefault="001F25F9" w:rsidP="00842C0D">
      <w:pPr>
        <w:spacing w:line="560" w:lineRule="exact"/>
        <w:jc w:val="center"/>
        <w:rPr>
          <w:rFonts w:ascii="仿宋_GB2312" w:eastAsia="仿宋_GB2312" w:hAnsi="Times New Roman" w:cs="仿宋_GB2312"/>
          <w:color w:val="000000" w:themeColor="text1"/>
          <w:sz w:val="32"/>
          <w:szCs w:val="32"/>
        </w:rPr>
      </w:pPr>
      <w:r w:rsidRPr="00B14E30">
        <w:rPr>
          <w:rFonts w:ascii="仿宋_GB2312" w:eastAsia="仿宋_GB2312" w:hAnsi="Times New Roman" w:cs="仿宋_GB2312" w:hint="eastAsia"/>
          <w:color w:val="000000" w:themeColor="text1"/>
          <w:sz w:val="32"/>
          <w:szCs w:val="32"/>
        </w:rPr>
        <w:t>表1.12 2013-2015年分省分专业平均分与控制线分差对比表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66"/>
        <w:gridCol w:w="665"/>
        <w:gridCol w:w="447"/>
        <w:gridCol w:w="722"/>
        <w:gridCol w:w="723"/>
        <w:gridCol w:w="721"/>
        <w:gridCol w:w="724"/>
        <w:gridCol w:w="721"/>
        <w:gridCol w:w="724"/>
        <w:gridCol w:w="645"/>
        <w:gridCol w:w="744"/>
        <w:gridCol w:w="778"/>
      </w:tblGrid>
      <w:tr w:rsidR="00B14E30" w:rsidRPr="00B14E30" w:rsidTr="00CE6A93">
        <w:trPr>
          <w:trHeight w:val="122"/>
          <w:jc w:val="center"/>
        </w:trPr>
        <w:tc>
          <w:tcPr>
            <w:tcW w:w="566"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省区</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年份</w:t>
            </w:r>
          </w:p>
        </w:tc>
        <w:tc>
          <w:tcPr>
            <w:tcW w:w="447"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项目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应化</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机制</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材控</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无机非</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电气</w:t>
            </w:r>
          </w:p>
        </w:tc>
        <w:tc>
          <w:tcPr>
            <w:tcW w:w="724" w:type="dxa"/>
            <w:tcBorders>
              <w:tl2br w:val="nil"/>
              <w:tr2bl w:val="nil"/>
            </w:tcBorders>
            <w:vAlign w:val="center"/>
          </w:tcPr>
          <w:p w:rsidR="001F25F9" w:rsidRPr="00B14E30" w:rsidRDefault="001F25F9" w:rsidP="001F25F9">
            <w:pPr>
              <w:widowControl/>
              <w:jc w:val="center"/>
              <w:rPr>
                <w:rFonts w:ascii="Times New Roman" w:eastAsia="宋体" w:hAnsi="Times New Roman" w:cs="Times New Roman"/>
                <w:color w:val="000000" w:themeColor="text1"/>
                <w:szCs w:val="20"/>
              </w:rPr>
            </w:pPr>
            <w:r w:rsidRPr="00B14E30">
              <w:rPr>
                <w:rFonts w:ascii="仿宋_GB2312" w:eastAsia="仿宋_GB2312" w:hAnsi="宋体" w:cs="宋体" w:hint="eastAsia"/>
                <w:b/>
                <w:color w:val="000000" w:themeColor="text1"/>
                <w:kern w:val="0"/>
                <w:szCs w:val="21"/>
              </w:rPr>
              <w:t>自动化</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化工</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b/>
                <w:color w:val="000000" w:themeColor="text1"/>
                <w:kern w:val="0"/>
                <w:szCs w:val="21"/>
              </w:rPr>
            </w:pPr>
            <w:r w:rsidRPr="00B14E30">
              <w:rPr>
                <w:rFonts w:ascii="仿宋_GB2312" w:eastAsia="仿宋_GB2312" w:hAnsi="宋体" w:cs="宋体" w:hint="eastAsia"/>
                <w:b/>
                <w:color w:val="000000" w:themeColor="text1"/>
                <w:kern w:val="0"/>
                <w:szCs w:val="21"/>
              </w:rPr>
              <w:t>物流（理）</w:t>
            </w:r>
          </w:p>
        </w:tc>
        <w:tc>
          <w:tcPr>
            <w:tcW w:w="778" w:type="dxa"/>
            <w:tcBorders>
              <w:tl2br w:val="nil"/>
              <w:tr2bl w:val="nil"/>
            </w:tcBorders>
            <w:vAlign w:val="center"/>
          </w:tcPr>
          <w:p w:rsidR="001F25F9" w:rsidRPr="00B14E30" w:rsidRDefault="001F25F9" w:rsidP="001F25F9">
            <w:pPr>
              <w:widowControl/>
              <w:jc w:val="center"/>
              <w:rPr>
                <w:rFonts w:ascii="Times New Roman" w:eastAsia="宋体" w:hAnsi="Times New Roman" w:cs="Times New Roman"/>
                <w:color w:val="000000" w:themeColor="text1"/>
                <w:szCs w:val="20"/>
              </w:rPr>
            </w:pPr>
            <w:r w:rsidRPr="00B14E30">
              <w:rPr>
                <w:rFonts w:ascii="仿宋_GB2312" w:eastAsia="仿宋_GB2312" w:hAnsi="宋体" w:cs="宋体" w:hint="eastAsia"/>
                <w:b/>
                <w:color w:val="000000" w:themeColor="text1"/>
                <w:kern w:val="0"/>
                <w:szCs w:val="21"/>
              </w:rPr>
              <w:t>物流（文）</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辽宁</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10.4</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11.4</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13.7</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11.6</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18.9</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9.4</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15.9</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6.9</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9.2</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6.4</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13.4</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11.4</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20.9</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9.1</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13.8</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11.9</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河北</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49</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38.7</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36.3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41.3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21.3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34.8</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36.3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33.6</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30.3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30.5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17</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19.5</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山西</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21.6</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12.7</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8.5</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22.7</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10.1</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11.6</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4.4</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内蒙古</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56.5</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77.2</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67.3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49.7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87</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78.3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59.7</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74.5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72.2</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24.7</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12.7</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吉林</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62.5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47.5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26.3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46.5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34.3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39.5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23.2</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41</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22.7</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69.3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31.7</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黑龙江</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57.4</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67.3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61.7</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67.2</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63.8</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58.4</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65.3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54.3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49</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50.5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75.5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62.5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54.3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63.3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24.6</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38.6</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18.5</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lastRenderedPageBreak/>
              <w:t>山东</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30.8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18.3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54</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51</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48</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48.5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39</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w:t>
            </w: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湖北</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14.5</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广西</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83.7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64.5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72</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26.5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四川</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38.7</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45.7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39.3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41</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40.5</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42</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7.6</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6.1</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29</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贵州</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10.4</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0.8</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8.3</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35</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29.6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32.8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13.2</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48.8</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33.5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27.5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云南</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30.5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宋体" w:eastAsia="宋体" w:hAnsi="宋体" w:cs="宋体" w:hint="eastAsia"/>
                <w:color w:val="000000" w:themeColor="text1"/>
                <w:kern w:val="0"/>
                <w:szCs w:val="21"/>
              </w:rPr>
              <w:t>﹣</w:t>
            </w:r>
            <w:r w:rsidRPr="00B14E30">
              <w:rPr>
                <w:rFonts w:ascii="仿宋_GB2312" w:eastAsia="仿宋_GB2312" w:hAnsi="宋体" w:cs="宋体" w:hint="eastAsia"/>
                <w:color w:val="000000" w:themeColor="text1"/>
                <w:kern w:val="0"/>
                <w:szCs w:val="21"/>
              </w:rPr>
              <w:t>2.5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陕西</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13.3</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14.3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13.3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11</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8.5</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10.3</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10.3</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5.3</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甘肃</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9.6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2.2</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2.5</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8</w:t>
            </w: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28.3</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10.3</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24.5</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7.5</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16</w:t>
            </w: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0.5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宋体" w:eastAsia="宋体" w:hAnsi="宋体" w:cs="宋体" w:hint="eastAsia"/>
                <w:color w:val="000000" w:themeColor="text1"/>
                <w:kern w:val="0"/>
                <w:szCs w:val="21"/>
              </w:rPr>
              <w:t>﹣</w:t>
            </w:r>
            <w:r w:rsidRPr="00B14E30">
              <w:rPr>
                <w:rFonts w:ascii="仿宋_GB2312" w:eastAsia="仿宋_GB2312" w:hAnsi="宋体" w:cs="宋体" w:hint="eastAsia"/>
                <w:color w:val="000000" w:themeColor="text1"/>
                <w:kern w:val="0"/>
                <w:szCs w:val="21"/>
              </w:rPr>
              <w:t>1</w:t>
            </w: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5</w:t>
            </w: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val="restart"/>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新疆</w:t>
            </w: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2015</w:t>
            </w:r>
          </w:p>
        </w:tc>
        <w:tc>
          <w:tcPr>
            <w:tcW w:w="447" w:type="dxa"/>
            <w:vMerge w:val="restart"/>
            <w:tcBorders>
              <w:tl2br w:val="nil"/>
              <w:tr2bl w:val="nil"/>
            </w:tcBorders>
            <w:vAlign w:val="center"/>
          </w:tcPr>
          <w:p w:rsidR="001F25F9" w:rsidRPr="00B14E30" w:rsidRDefault="001F25F9" w:rsidP="001F25F9">
            <w:pPr>
              <w:widowControl/>
              <w:jc w:val="center"/>
              <w:rPr>
                <w:rFonts w:ascii="Times New Roman" w:eastAsia="Times New Roman" w:hAnsi="Times New Roman" w:cs="Times New Roman"/>
                <w:color w:val="000000" w:themeColor="text1"/>
                <w:sz w:val="20"/>
                <w:szCs w:val="20"/>
              </w:rPr>
            </w:pPr>
            <w:r w:rsidRPr="00B14E30">
              <w:rPr>
                <w:rFonts w:ascii="仿宋_GB2312" w:eastAsia="仿宋_GB2312" w:hAnsi="宋体" w:cs="宋体" w:hint="eastAsia"/>
                <w:color w:val="000000" w:themeColor="text1"/>
                <w:kern w:val="0"/>
                <w:szCs w:val="21"/>
              </w:rPr>
              <w:t>分差</w:t>
            </w: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27.7</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23.8</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19.5</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2014</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6</w:t>
            </w: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12</w:t>
            </w: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w:t>
            </w: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r w:rsidR="00B14E30" w:rsidRPr="00B14E30" w:rsidTr="00CE6A93">
        <w:trPr>
          <w:trHeight w:val="90"/>
          <w:jc w:val="center"/>
        </w:trPr>
        <w:tc>
          <w:tcPr>
            <w:tcW w:w="566"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66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r w:rsidRPr="00B14E30">
              <w:rPr>
                <w:rFonts w:ascii="仿宋_GB2312" w:eastAsia="仿宋_GB2312" w:hAnsi="宋体" w:cs="宋体" w:hint="eastAsia"/>
                <w:color w:val="000000" w:themeColor="text1"/>
                <w:kern w:val="0"/>
                <w:szCs w:val="21"/>
              </w:rPr>
              <w:t>2013</w:t>
            </w:r>
          </w:p>
        </w:tc>
        <w:tc>
          <w:tcPr>
            <w:tcW w:w="447" w:type="dxa"/>
            <w:vMerge/>
            <w:tcBorders>
              <w:tl2br w:val="nil"/>
              <w:tr2bl w:val="nil"/>
            </w:tcBorders>
            <w:vAlign w:val="center"/>
          </w:tcPr>
          <w:p w:rsidR="001F25F9" w:rsidRPr="00B14E30" w:rsidRDefault="001F25F9" w:rsidP="001F25F9">
            <w:pPr>
              <w:rPr>
                <w:rFonts w:ascii="Times New Roman" w:eastAsia="Times New Roman" w:hAnsi="Times New Roman" w:cs="Times New Roman"/>
                <w:color w:val="000000" w:themeColor="text1"/>
                <w:sz w:val="20"/>
                <w:szCs w:val="20"/>
              </w:rPr>
            </w:pPr>
          </w:p>
        </w:tc>
        <w:tc>
          <w:tcPr>
            <w:tcW w:w="722"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3"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1"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2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645"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44"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c>
          <w:tcPr>
            <w:tcW w:w="778" w:type="dxa"/>
            <w:tcBorders>
              <w:tl2br w:val="nil"/>
              <w:tr2bl w:val="nil"/>
            </w:tcBorders>
            <w:vAlign w:val="center"/>
          </w:tcPr>
          <w:p w:rsidR="001F25F9" w:rsidRPr="00B14E30" w:rsidRDefault="001F25F9" w:rsidP="001F25F9">
            <w:pPr>
              <w:widowControl/>
              <w:jc w:val="center"/>
              <w:rPr>
                <w:rFonts w:ascii="仿宋_GB2312" w:eastAsia="仿宋_GB2312" w:hAnsi="宋体" w:cs="宋体"/>
                <w:color w:val="000000" w:themeColor="text1"/>
                <w:kern w:val="0"/>
                <w:szCs w:val="21"/>
              </w:rPr>
            </w:pPr>
          </w:p>
        </w:tc>
      </w:tr>
    </w:tbl>
    <w:p w:rsidR="001F25F9" w:rsidRPr="00B14E30" w:rsidRDefault="001F25F9" w:rsidP="001F25F9">
      <w:pPr>
        <w:spacing w:line="560" w:lineRule="exact"/>
        <w:ind w:firstLineChars="200" w:firstLine="640"/>
        <w:rPr>
          <w:rFonts w:ascii="仿宋_GB2312" w:eastAsia="仿宋_GB2312" w:hAnsi="Times New Roman" w:cs="仿宋_GB2312"/>
          <w:color w:val="000000" w:themeColor="text1"/>
          <w:sz w:val="32"/>
          <w:szCs w:val="32"/>
        </w:rPr>
      </w:pPr>
      <w:r w:rsidRPr="00B14E30">
        <w:rPr>
          <w:rFonts w:ascii="仿宋_GB2312" w:eastAsia="仿宋_GB2312" w:hAnsi="Times New Roman" w:cs="仿宋_GB2312" w:hint="eastAsia"/>
          <w:color w:val="000000" w:themeColor="text1"/>
          <w:sz w:val="32"/>
          <w:szCs w:val="32"/>
        </w:rPr>
        <w:t>根据表1.12，2015年各省专业平均分与控制线分差总体上优于往年，河北、内蒙古、广西、四川、吉林5省区除物流专业外的所有专业分差均高于往年，广西、四川提升较大，说明我院在上述五省区的知名度有所提升且生源质量优于往年，但山西、贵州分差的减少应给予重视。</w:t>
      </w:r>
    </w:p>
    <w:p w:rsidR="001F25F9" w:rsidRPr="00B14E30" w:rsidRDefault="00CD7213" w:rsidP="001F25F9">
      <w:pPr>
        <w:spacing w:line="560" w:lineRule="exact"/>
        <w:jc w:val="center"/>
        <w:rPr>
          <w:rFonts w:ascii="仿宋_GB2312" w:eastAsia="仿宋_GB2312" w:hAnsi="Times New Roman" w:cs="仿宋_GB2312"/>
          <w:color w:val="000000" w:themeColor="text1"/>
          <w:sz w:val="32"/>
          <w:szCs w:val="32"/>
        </w:rPr>
      </w:pPr>
      <w:r w:rsidRPr="00B14E30">
        <w:rPr>
          <w:rFonts w:ascii="Times New Roman" w:eastAsia="宋体" w:hAnsi="Times New Roman" w:cs="Times New Roman"/>
          <w:noProof/>
          <w:color w:val="000000" w:themeColor="text1"/>
          <w:szCs w:val="24"/>
        </w:rPr>
        <w:lastRenderedPageBreak/>
        <w:drawing>
          <wp:anchor distT="0" distB="0" distL="114300" distR="114300" simplePos="0" relativeHeight="251662336" behindDoc="0" locked="0" layoutInCell="1" allowOverlap="1">
            <wp:simplePos x="0" y="0"/>
            <wp:positionH relativeFrom="column">
              <wp:posOffset>620395</wp:posOffset>
            </wp:positionH>
            <wp:positionV relativeFrom="paragraph">
              <wp:posOffset>2801620</wp:posOffset>
            </wp:positionV>
            <wp:extent cx="4410075" cy="2270760"/>
            <wp:effectExtent l="0" t="0" r="9525" b="0"/>
            <wp:wrapTopAndBottom/>
            <wp:docPr id="23" name="图片 23" descr="C:\Documents and Settings\Administrator\Application Data\SogouExplorer\Documents\Tencent Files\595097741\Image\C2C\`]F]J]U~B(5ST1I`GIDEA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Documents and Settings\Administrator\Application Data\SogouExplorer\Documents\Tencent Files\595097741\Image\C2C\`]F]J]U~B(5ST1I`GIDEAT9.png"/>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270760"/>
                    </a:xfrm>
                    <a:prstGeom prst="rect">
                      <a:avLst/>
                    </a:prstGeom>
                    <a:noFill/>
                    <a:ln>
                      <a:noFill/>
                    </a:ln>
                  </pic:spPr>
                </pic:pic>
              </a:graphicData>
            </a:graphic>
          </wp:anchor>
        </w:drawing>
      </w:r>
      <w:r w:rsidR="001F25F9" w:rsidRPr="00B14E30">
        <w:rPr>
          <w:rFonts w:ascii="Times New Roman" w:eastAsia="宋体" w:hAnsi="Times New Roman" w:cs="Times New Roman"/>
          <w:noProof/>
          <w:color w:val="000000" w:themeColor="text1"/>
          <w:szCs w:val="24"/>
        </w:rPr>
        <w:drawing>
          <wp:anchor distT="0" distB="0" distL="114300" distR="114300" simplePos="0" relativeHeight="251661312" behindDoc="0" locked="0" layoutInCell="1" allowOverlap="1">
            <wp:simplePos x="0" y="0"/>
            <wp:positionH relativeFrom="column">
              <wp:posOffset>553720</wp:posOffset>
            </wp:positionH>
            <wp:positionV relativeFrom="paragraph">
              <wp:posOffset>39370</wp:posOffset>
            </wp:positionV>
            <wp:extent cx="4476750" cy="2363470"/>
            <wp:effectExtent l="0" t="0" r="0" b="0"/>
            <wp:wrapTopAndBottom/>
            <wp:docPr id="24" name="图片 24" descr="C:\Documents and Settings\Administrator\Application Data\SogouExplorer\Documents\Tencent Files\595097741\Image\C2C\MU%3]E}8OFC3QWRSP6WW0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Documents and Settings\Administrator\Application Data\SogouExplorer\Documents\Tencent Files\595097741\Image\C2C\MU%3]E}8OFC3QWRSP6WW0RP.png"/>
                    <pic:cNvPicPr>
                      <a:picLocks noChangeAspect="1" noChangeArrowheads="1"/>
                    </pic:cNvPicPr>
                  </pic:nvPicPr>
                  <pic:blipFill>
                    <a:blip r:embed="rId21" r:link="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2363470"/>
                    </a:xfrm>
                    <a:prstGeom prst="rect">
                      <a:avLst/>
                    </a:prstGeom>
                    <a:noFill/>
                    <a:ln>
                      <a:noFill/>
                    </a:ln>
                  </pic:spPr>
                </pic:pic>
              </a:graphicData>
            </a:graphic>
          </wp:anchor>
        </w:drawing>
      </w:r>
      <w:r w:rsidR="001F25F9" w:rsidRPr="00B14E30">
        <w:rPr>
          <w:rFonts w:ascii="仿宋_GB2312" w:eastAsia="仿宋_GB2312" w:hAnsi="Times New Roman" w:cs="仿宋_GB2312" w:hint="eastAsia"/>
          <w:color w:val="000000" w:themeColor="text1"/>
          <w:sz w:val="32"/>
          <w:szCs w:val="32"/>
        </w:rPr>
        <w:t>图1.9 2013-2015年辽宁各专业标准分数对比图</w:t>
      </w:r>
    </w:p>
    <w:p w:rsidR="001F25F9" w:rsidRPr="00B14E30" w:rsidRDefault="001F25F9" w:rsidP="00CD7213">
      <w:pPr>
        <w:spacing w:line="560" w:lineRule="exact"/>
        <w:jc w:val="center"/>
        <w:rPr>
          <w:rFonts w:ascii="仿宋_GB2312" w:eastAsia="仿宋_GB2312" w:hAnsi="Times New Roman" w:cs="仿宋_GB2312"/>
          <w:color w:val="000000" w:themeColor="text1"/>
          <w:sz w:val="32"/>
          <w:szCs w:val="32"/>
        </w:rPr>
      </w:pPr>
      <w:r w:rsidRPr="00B14E30">
        <w:rPr>
          <w:rFonts w:ascii="仿宋_GB2312" w:eastAsia="仿宋_GB2312" w:hAnsi="Times New Roman" w:cs="仿宋_GB2312" w:hint="eastAsia"/>
          <w:color w:val="000000" w:themeColor="text1"/>
          <w:w w:val="96"/>
          <w:sz w:val="32"/>
          <w:szCs w:val="32"/>
        </w:rPr>
        <w:t>图1.10 2014</w:t>
      </w:r>
      <w:r w:rsidR="00CD7213" w:rsidRPr="00B14E30">
        <w:rPr>
          <w:rFonts w:ascii="仿宋_GB2312" w:eastAsia="仿宋_GB2312" w:hAnsi="Times New Roman" w:cs="仿宋_GB2312" w:hint="eastAsia"/>
          <w:color w:val="000000" w:themeColor="text1"/>
          <w:w w:val="96"/>
          <w:sz w:val="32"/>
          <w:szCs w:val="32"/>
        </w:rPr>
        <w:t>-</w:t>
      </w:r>
      <w:r w:rsidRPr="00B14E30">
        <w:rPr>
          <w:rFonts w:ascii="仿宋_GB2312" w:eastAsia="仿宋_GB2312" w:hAnsi="Times New Roman" w:cs="仿宋_GB2312" w:hint="eastAsia"/>
          <w:color w:val="000000" w:themeColor="text1"/>
          <w:w w:val="96"/>
          <w:sz w:val="32"/>
          <w:szCs w:val="32"/>
        </w:rPr>
        <w:t>2015年辽宁各专业标准分数对比图</w:t>
      </w:r>
    </w:p>
    <w:p w:rsidR="001F25F9" w:rsidRPr="00B14E30" w:rsidRDefault="001F25F9" w:rsidP="00CD7213">
      <w:pPr>
        <w:spacing w:line="560" w:lineRule="exact"/>
        <w:ind w:firstLineChars="200" w:firstLine="640"/>
        <w:rPr>
          <w:rFonts w:ascii="仿宋_GB2312" w:eastAsia="仿宋_GB2312" w:hAnsi="Times New Roman" w:cs="仿宋_GB2312"/>
          <w:color w:val="000000" w:themeColor="text1"/>
          <w:sz w:val="32"/>
          <w:szCs w:val="32"/>
        </w:rPr>
      </w:pPr>
      <w:r w:rsidRPr="00B14E30">
        <w:rPr>
          <w:rFonts w:ascii="仿宋_GB2312" w:eastAsia="仿宋_GB2312" w:hAnsi="Times New Roman" w:cs="仿宋_GB2312" w:hint="eastAsia"/>
          <w:color w:val="000000" w:themeColor="text1"/>
          <w:sz w:val="32"/>
          <w:szCs w:val="32"/>
        </w:rPr>
        <w:t>根据表1.12、图1.10</w:t>
      </w:r>
      <w:r w:rsidR="00CD7213" w:rsidRPr="00B14E30">
        <w:rPr>
          <w:rFonts w:ascii="仿宋_GB2312" w:eastAsia="仿宋_GB2312" w:hAnsi="Times New Roman" w:cs="仿宋_GB2312" w:hint="eastAsia"/>
          <w:color w:val="000000" w:themeColor="text1"/>
          <w:sz w:val="32"/>
          <w:szCs w:val="32"/>
        </w:rPr>
        <w:t>可知</w:t>
      </w:r>
      <w:r w:rsidRPr="00B14E30">
        <w:rPr>
          <w:rFonts w:ascii="仿宋_GB2312" w:eastAsia="仿宋_GB2312" w:hAnsi="Times New Roman" w:cs="仿宋_GB2312" w:hint="eastAsia"/>
          <w:color w:val="000000" w:themeColor="text1"/>
          <w:sz w:val="32"/>
          <w:szCs w:val="32"/>
        </w:rPr>
        <w:t>，学院在2015年辽宁省内各专业录取分数取得了较好成绩，所有专业标准分数均高于2014年，其中涨幅最低的应化专业标准分数差达0.1，换算成分差为4.19分（分差=标准分数差×二批次控制线），而涨幅最高的文科物流专业换算成分差则为12.57分，优势明显。各专业标准分数呈现波形稳定，优势专业热度不减，低分专业</w:t>
      </w:r>
      <w:r w:rsidR="00CD7213" w:rsidRPr="00B14E30">
        <w:rPr>
          <w:rFonts w:ascii="仿宋_GB2312" w:eastAsia="仿宋_GB2312" w:hAnsi="Times New Roman" w:cs="仿宋_GB2312" w:hint="eastAsia"/>
          <w:color w:val="000000" w:themeColor="text1"/>
          <w:sz w:val="32"/>
          <w:szCs w:val="32"/>
        </w:rPr>
        <w:t>分数</w:t>
      </w:r>
      <w:r w:rsidRPr="00B14E30">
        <w:rPr>
          <w:rFonts w:ascii="仿宋_GB2312" w:eastAsia="仿宋_GB2312" w:hAnsi="Times New Roman" w:cs="仿宋_GB2312" w:hint="eastAsia"/>
          <w:color w:val="000000" w:themeColor="text1"/>
          <w:sz w:val="32"/>
          <w:szCs w:val="32"/>
        </w:rPr>
        <w:t>逐渐提高的特点。</w:t>
      </w:r>
    </w:p>
    <w:p w:rsidR="001F25F9" w:rsidRPr="00B14E30" w:rsidRDefault="001F25F9" w:rsidP="00CD7213">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3．历年辽宁省各分数段人数比例对比分析</w:t>
      </w:r>
    </w:p>
    <w:p w:rsidR="001F25F9" w:rsidRPr="00B14E30" w:rsidRDefault="001F25F9" w:rsidP="001F25F9">
      <w:pPr>
        <w:spacing w:line="560" w:lineRule="exact"/>
        <w:ind w:firstLineChars="293" w:firstLine="615"/>
        <w:rPr>
          <w:rFonts w:ascii="仿宋_GB2312" w:eastAsia="仿宋_GB2312" w:hAnsi="Times New Roman" w:cs="Times New Roman"/>
          <w:color w:val="000000" w:themeColor="text1"/>
          <w:sz w:val="32"/>
          <w:szCs w:val="32"/>
        </w:rPr>
      </w:pPr>
      <w:r w:rsidRPr="00B14E30">
        <w:rPr>
          <w:rFonts w:ascii="Times New Roman" w:eastAsia="宋体" w:hAnsi="Times New Roman" w:cs="Times New Roman"/>
          <w:noProof/>
          <w:color w:val="000000" w:themeColor="text1"/>
          <w:szCs w:val="24"/>
        </w:rPr>
        <w:lastRenderedPageBreak/>
        <w:drawing>
          <wp:anchor distT="0" distB="0" distL="114300" distR="114300" simplePos="0" relativeHeight="251663360" behindDoc="0" locked="0" layoutInCell="1" allowOverlap="1">
            <wp:simplePos x="0" y="0"/>
            <wp:positionH relativeFrom="column">
              <wp:posOffset>753745</wp:posOffset>
            </wp:positionH>
            <wp:positionV relativeFrom="paragraph">
              <wp:posOffset>401320</wp:posOffset>
            </wp:positionV>
            <wp:extent cx="4234180" cy="2143125"/>
            <wp:effectExtent l="0" t="0" r="13970" b="9525"/>
            <wp:wrapTopAndBottom/>
            <wp:docPr id="22" name="图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B14E30">
        <w:rPr>
          <w:rFonts w:ascii="仿宋_GB2312" w:eastAsia="仿宋_GB2312" w:hAnsi="Times New Roman" w:cs="Times New Roman" w:hint="eastAsia"/>
          <w:color w:val="000000" w:themeColor="text1"/>
          <w:sz w:val="32"/>
          <w:szCs w:val="32"/>
        </w:rPr>
        <w:t>（1）文科</w:t>
      </w:r>
    </w:p>
    <w:p w:rsidR="001F25F9" w:rsidRPr="00B14E30" w:rsidRDefault="00CD7213" w:rsidP="00CD7213">
      <w:pPr>
        <w:ind w:left="424" w:hangingChars="202" w:hanging="424"/>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t>注：</w:t>
      </w:r>
      <w:r w:rsidR="001F25F9" w:rsidRPr="00B14E30">
        <w:rPr>
          <w:rFonts w:ascii="仿宋_GB2312" w:eastAsia="仿宋_GB2312" w:hAnsi="Times New Roman" w:cs="Times New Roman" w:hint="eastAsia"/>
          <w:color w:val="000000" w:themeColor="text1"/>
          <w:szCs w:val="21"/>
        </w:rPr>
        <w:t>A：二本控制线上至二本控制线加9分区间；B：二本控制线加10分至二本控制线加19分区间；C：二本控制线加20分至二本控制线加29分区间；D：二本控制线加30分至一本线下区间；E：一本线上区间。</w:t>
      </w:r>
    </w:p>
    <w:p w:rsidR="00CD7213" w:rsidRPr="00B14E30" w:rsidRDefault="00CD7213" w:rsidP="00BA635F">
      <w:pPr>
        <w:spacing w:line="560" w:lineRule="exact"/>
        <w:jc w:val="cente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 w:val="32"/>
          <w:szCs w:val="32"/>
        </w:rPr>
        <w:t>图1.1</w:t>
      </w:r>
      <w:r w:rsidR="00EC3F65" w:rsidRPr="00B14E30">
        <w:rPr>
          <w:rFonts w:ascii="仿宋_GB2312" w:eastAsia="仿宋_GB2312" w:hAnsi="Times New Roman" w:cs="Times New Roman" w:hint="eastAsia"/>
          <w:color w:val="000000" w:themeColor="text1"/>
          <w:sz w:val="32"/>
          <w:szCs w:val="32"/>
        </w:rPr>
        <w:t>1</w:t>
      </w:r>
      <w:r w:rsidRPr="00B14E30">
        <w:rPr>
          <w:rFonts w:ascii="仿宋_GB2312" w:eastAsia="仿宋_GB2312" w:hAnsi="Times New Roman" w:cs="Times New Roman" w:hint="eastAsia"/>
          <w:color w:val="000000" w:themeColor="text1"/>
          <w:sz w:val="32"/>
          <w:szCs w:val="32"/>
        </w:rPr>
        <w:t xml:space="preserve"> 2013-2015年辽宁省（文科）各分段考生比例图</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图1.1</w:t>
      </w:r>
      <w:r w:rsidR="00EC3F65" w:rsidRPr="00B14E30">
        <w:rPr>
          <w:rFonts w:ascii="仿宋_GB2312" w:eastAsia="仿宋_GB2312" w:hAnsi="Times New Roman" w:cs="Times New Roman" w:hint="eastAsia"/>
          <w:color w:val="000000" w:themeColor="text1"/>
          <w:sz w:val="32"/>
          <w:szCs w:val="32"/>
        </w:rPr>
        <w:t>1</w:t>
      </w:r>
      <w:r w:rsidRPr="00B14E30">
        <w:rPr>
          <w:rFonts w:ascii="仿宋_GB2312" w:eastAsia="仿宋_GB2312" w:hAnsi="Times New Roman" w:cs="Times New Roman" w:hint="eastAsia"/>
          <w:color w:val="000000" w:themeColor="text1"/>
          <w:sz w:val="32"/>
          <w:szCs w:val="32"/>
        </w:rPr>
        <w:t>表明，我院</w:t>
      </w:r>
      <w:r w:rsidR="00BA635F" w:rsidRPr="00B14E30">
        <w:rPr>
          <w:rFonts w:ascii="仿宋_GB2312" w:eastAsia="仿宋_GB2312" w:hAnsi="Times New Roman" w:cs="Times New Roman" w:hint="eastAsia"/>
          <w:color w:val="000000" w:themeColor="text1"/>
          <w:sz w:val="32"/>
          <w:szCs w:val="32"/>
        </w:rPr>
        <w:t>历年</w:t>
      </w:r>
      <w:r w:rsidRPr="00B14E30">
        <w:rPr>
          <w:rFonts w:ascii="仿宋_GB2312" w:eastAsia="仿宋_GB2312" w:hAnsi="Times New Roman" w:cs="Times New Roman" w:hint="eastAsia"/>
          <w:color w:val="000000" w:themeColor="text1"/>
          <w:sz w:val="32"/>
          <w:szCs w:val="32"/>
        </w:rPr>
        <w:t>招录的辽宁省文科考生中，B段（二本控制线加10分至二本控制线加19分区间）考生所占比例稳步提升至主体地位，A段（二本控制线上至二本控制线加9分区间）考生数量由规模最大骤减至零，其中42.5%的考生高于二本线30分，说明我院文科生源质量有了明显的提高。</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（2）理科</w:t>
      </w:r>
    </w:p>
    <w:p w:rsidR="001F25F9" w:rsidRPr="00B14E30" w:rsidRDefault="001F25F9" w:rsidP="001F25F9">
      <w:pPr>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noProof/>
          <w:color w:val="000000" w:themeColor="text1"/>
          <w:sz w:val="32"/>
          <w:szCs w:val="32"/>
        </w:rPr>
        <w:drawing>
          <wp:inline distT="0" distB="0" distL="0" distR="0">
            <wp:extent cx="4476750" cy="2247900"/>
            <wp:effectExtent l="0" t="0" r="19050" b="19050"/>
            <wp:docPr id="10" name="图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25F9" w:rsidRPr="00B14E30" w:rsidRDefault="00BA635F" w:rsidP="00BA635F">
      <w:pPr>
        <w:ind w:left="424" w:hangingChars="202" w:hanging="424"/>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lastRenderedPageBreak/>
        <w:t>注：</w:t>
      </w:r>
      <w:r w:rsidR="001F25F9" w:rsidRPr="00B14E30">
        <w:rPr>
          <w:rFonts w:ascii="仿宋_GB2312" w:eastAsia="仿宋_GB2312" w:hAnsi="Times New Roman" w:cs="Times New Roman" w:hint="eastAsia"/>
          <w:color w:val="000000" w:themeColor="text1"/>
          <w:szCs w:val="21"/>
        </w:rPr>
        <w:t>A：二本控制线上至二本控制线加9分区间；B：二本控制线加10分至二本控制线加19分区间；C：二本控制线加20分至二本控制线加29分区间；D：二本控制线加30分至一本线下区间；E：一本线上区间。</w:t>
      </w:r>
    </w:p>
    <w:p w:rsidR="00BA635F" w:rsidRPr="00B14E30" w:rsidRDefault="00BA635F" w:rsidP="00BA635F">
      <w:pPr>
        <w:spacing w:line="560" w:lineRule="exact"/>
        <w:jc w:val="center"/>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 w:val="32"/>
          <w:szCs w:val="32"/>
        </w:rPr>
        <w:t>图1.1</w:t>
      </w:r>
      <w:r w:rsidR="00EC3F65" w:rsidRPr="00B14E30">
        <w:rPr>
          <w:rFonts w:ascii="仿宋_GB2312" w:eastAsia="仿宋_GB2312" w:hAnsi="Times New Roman" w:cs="Times New Roman" w:hint="eastAsia"/>
          <w:color w:val="000000" w:themeColor="text1"/>
          <w:sz w:val="32"/>
          <w:szCs w:val="32"/>
        </w:rPr>
        <w:t>2</w:t>
      </w:r>
      <w:r w:rsidRPr="00B14E30">
        <w:rPr>
          <w:rFonts w:ascii="仿宋_GB2312" w:eastAsia="仿宋_GB2312" w:hAnsi="Times New Roman" w:cs="Times New Roman" w:hint="eastAsia"/>
          <w:color w:val="000000" w:themeColor="text1"/>
          <w:sz w:val="32"/>
          <w:szCs w:val="32"/>
        </w:rPr>
        <w:t xml:space="preserve"> 2013-2015年辽宁省（理科）各分段考生比例图</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图1.1</w:t>
      </w:r>
      <w:r w:rsidR="00EC3F65" w:rsidRPr="00B14E30">
        <w:rPr>
          <w:rFonts w:ascii="仿宋_GB2312" w:eastAsia="仿宋_GB2312" w:hAnsi="Times New Roman" w:cs="Times New Roman" w:hint="eastAsia"/>
          <w:color w:val="000000" w:themeColor="text1"/>
          <w:sz w:val="32"/>
          <w:szCs w:val="32"/>
        </w:rPr>
        <w:t>2</w:t>
      </w:r>
      <w:r w:rsidRPr="00B14E30">
        <w:rPr>
          <w:rFonts w:ascii="仿宋_GB2312" w:eastAsia="仿宋_GB2312" w:hAnsi="Times New Roman" w:cs="Times New Roman" w:hint="eastAsia"/>
          <w:color w:val="000000" w:themeColor="text1"/>
          <w:sz w:val="32"/>
          <w:szCs w:val="32"/>
        </w:rPr>
        <w:t>表明，省内理科考生成绩分布由2013、2014年的A段考生占主体地位转变为2015年B段考生占主体地位。低分数段考生占比减少，对学院可持续发展及自身定位都带来了积极的影响。</w:t>
      </w:r>
    </w:p>
    <w:p w:rsidR="001F25F9" w:rsidRPr="00B14E30" w:rsidRDefault="001F25F9" w:rsidP="00BA635F">
      <w:pPr>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t>（四）2015年招生录取总体情况分析</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1．省内总体情况分析</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2015年学院在辽宁省投放计划687人，其中文史类40人，理工类647人，文史类一次投档即满，理工类有6人因身体条件受限制被退档，学院在征集志愿的情况下完成招生计划。</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理工类录取考生中最高分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470分，高出省二批次分数线（419分）51分，低于一批次分数线（500分）30分；最低分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427分，高出省二批次分数线（419分）8分；平均分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432.7分，高出省二批次分数线（419分）13.7分。</w:t>
      </w:r>
    </w:p>
    <w:p w:rsidR="001F25F9" w:rsidRPr="00B14E30" w:rsidRDefault="001F25F9" w:rsidP="00BA635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文史类录取考生中最高分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496分，高出省二批次分数线（460分）36分，低于一批次分数线（530分）34分；最低分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474分，高出省二批次分数线（460分）14分；平均分</w:t>
      </w:r>
      <w:r w:rsidR="00BA635F" w:rsidRPr="00B14E30">
        <w:rPr>
          <w:rFonts w:ascii="仿宋_GB2312" w:eastAsia="仿宋_GB2312" w:hAnsi="Times New Roman" w:cs="Times New Roman" w:hint="eastAsia"/>
          <w:color w:val="000000" w:themeColor="text1"/>
          <w:sz w:val="32"/>
          <w:szCs w:val="32"/>
        </w:rPr>
        <w:t>为</w:t>
      </w:r>
      <w:r w:rsidRPr="00B14E30">
        <w:rPr>
          <w:rFonts w:ascii="仿宋_GB2312" w:eastAsia="仿宋_GB2312" w:hAnsi="Times New Roman" w:cs="Times New Roman" w:hint="eastAsia"/>
          <w:color w:val="000000" w:themeColor="text1"/>
          <w:sz w:val="32"/>
          <w:szCs w:val="32"/>
        </w:rPr>
        <w:t>479.3分，高出省二批次分数线（460分）19.3分。</w:t>
      </w:r>
    </w:p>
    <w:p w:rsidR="001F25F9" w:rsidRPr="00B14E30" w:rsidRDefault="001F25F9" w:rsidP="00BA635F">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 xml:space="preserve">表1.13 </w:t>
      </w:r>
      <w:r w:rsidR="00143E49" w:rsidRPr="00B14E30">
        <w:rPr>
          <w:rFonts w:ascii="仿宋_GB2312" w:eastAsia="仿宋_GB2312" w:hAnsi="Times New Roman" w:cs="Times New Roman" w:hint="eastAsia"/>
          <w:color w:val="000000" w:themeColor="text1"/>
          <w:sz w:val="32"/>
          <w:szCs w:val="32"/>
        </w:rPr>
        <w:t>历</w:t>
      </w:r>
      <w:r w:rsidRPr="00B14E30">
        <w:rPr>
          <w:rFonts w:ascii="仿宋_GB2312" w:eastAsia="仿宋_GB2312" w:hAnsi="Times New Roman" w:cs="Times New Roman" w:hint="eastAsia"/>
          <w:color w:val="000000" w:themeColor="text1"/>
          <w:sz w:val="32"/>
          <w:szCs w:val="32"/>
        </w:rPr>
        <w:t>年辽宁省录取数据对比</w:t>
      </w:r>
      <w:r w:rsidR="00EC3F65" w:rsidRPr="00B14E30">
        <w:rPr>
          <w:rFonts w:ascii="仿宋_GB2312" w:eastAsia="仿宋_GB2312" w:hAnsi="Times New Roman" w:cs="Times New Roman" w:hint="eastAsia"/>
          <w:color w:val="000000" w:themeColor="text1"/>
          <w:sz w:val="32"/>
          <w:szCs w:val="32"/>
        </w:rPr>
        <w:t>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65"/>
        <w:gridCol w:w="1081"/>
        <w:gridCol w:w="1084"/>
        <w:gridCol w:w="1081"/>
        <w:gridCol w:w="1084"/>
        <w:gridCol w:w="1081"/>
        <w:gridCol w:w="1084"/>
      </w:tblGrid>
      <w:tr w:rsidR="00B14E30" w:rsidRPr="00B14E30" w:rsidTr="004606B3">
        <w:trPr>
          <w:trHeight w:val="351"/>
          <w:jc w:val="center"/>
        </w:trPr>
        <w:tc>
          <w:tcPr>
            <w:tcW w:w="2165" w:type="dxa"/>
            <w:vMerge w:val="restart"/>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年份</w:t>
            </w:r>
          </w:p>
        </w:tc>
        <w:tc>
          <w:tcPr>
            <w:tcW w:w="2165" w:type="dxa"/>
            <w:gridSpan w:val="2"/>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最高分分差</w:t>
            </w:r>
          </w:p>
        </w:tc>
        <w:tc>
          <w:tcPr>
            <w:tcW w:w="2165" w:type="dxa"/>
            <w:gridSpan w:val="2"/>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最低分分差</w:t>
            </w:r>
          </w:p>
        </w:tc>
        <w:tc>
          <w:tcPr>
            <w:tcW w:w="2165" w:type="dxa"/>
            <w:gridSpan w:val="2"/>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平均分分差</w:t>
            </w:r>
          </w:p>
        </w:tc>
      </w:tr>
      <w:tr w:rsidR="00B14E30" w:rsidRPr="00B14E30" w:rsidTr="004606B3">
        <w:trPr>
          <w:trHeight w:val="351"/>
          <w:jc w:val="center"/>
        </w:trPr>
        <w:tc>
          <w:tcPr>
            <w:tcW w:w="2165" w:type="dxa"/>
            <w:vMerge/>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文科</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理科</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文科</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理科</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文科</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理科</w:t>
            </w:r>
          </w:p>
        </w:tc>
      </w:tr>
      <w:tr w:rsidR="00B14E30" w:rsidRPr="00B14E30" w:rsidTr="004606B3">
        <w:trPr>
          <w:trHeight w:val="383"/>
          <w:jc w:val="center"/>
        </w:trPr>
        <w:tc>
          <w:tcPr>
            <w:tcW w:w="2165"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2013年</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46</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62</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r>
      <w:tr w:rsidR="00B14E30" w:rsidRPr="00B14E30" w:rsidTr="004606B3">
        <w:trPr>
          <w:trHeight w:val="397"/>
          <w:jc w:val="center"/>
        </w:trPr>
        <w:tc>
          <w:tcPr>
            <w:tcW w:w="2165"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2014年</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29</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50</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11.4</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r>
      <w:tr w:rsidR="00B14E30" w:rsidRPr="00B14E30" w:rsidTr="004606B3">
        <w:trPr>
          <w:trHeight w:val="65"/>
          <w:jc w:val="center"/>
        </w:trPr>
        <w:tc>
          <w:tcPr>
            <w:tcW w:w="2165"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2015年</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36</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51</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1081"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19.3</w:t>
            </w:r>
          </w:p>
        </w:tc>
        <w:tc>
          <w:tcPr>
            <w:tcW w:w="1084" w:type="dxa"/>
            <w:shd w:val="clear" w:color="auto" w:fill="auto"/>
            <w:vAlign w:val="center"/>
          </w:tcPr>
          <w:p w:rsidR="001F25F9" w:rsidRPr="00B14E30" w:rsidRDefault="001F25F9" w:rsidP="004606B3">
            <w:pPr>
              <w:spacing w:line="560" w:lineRule="exac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13.7</w:t>
            </w:r>
          </w:p>
        </w:tc>
      </w:tr>
    </w:tbl>
    <w:p w:rsidR="001F25F9" w:rsidRPr="00B14E30" w:rsidRDefault="004606B3"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如表1.13</w:t>
      </w:r>
      <w:r w:rsidR="001F25F9"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2015年学</w:t>
      </w:r>
      <w:r w:rsidR="001F25F9" w:rsidRPr="00B14E30">
        <w:rPr>
          <w:rFonts w:ascii="仿宋_GB2312" w:eastAsia="仿宋_GB2312" w:hAnsi="Times New Roman" w:cs="Times New Roman" w:hint="eastAsia"/>
          <w:color w:val="000000" w:themeColor="text1"/>
          <w:sz w:val="32"/>
          <w:szCs w:val="32"/>
        </w:rPr>
        <w:t>院省内各项录取数据较往年都有了较大幅度的提高，且呈逐年上升态势。说明我院的专业设置合理、宣传工作策略得当，在省内的知名度进一步得到提升。</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2．省外总体情况分析</w:t>
      </w:r>
    </w:p>
    <w:p w:rsidR="001F25F9" w:rsidRPr="00B14E30" w:rsidRDefault="001F25F9" w:rsidP="00EC3F65">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2015年学院在绝大多数招生省区的平均分均超过该省批次控制线10分以上，其中内蒙古、黑龙江文科平均分超该省控制线61分、50.4分</w:t>
      </w:r>
      <w:r w:rsidR="004606B3" w:rsidRPr="00B14E30">
        <w:rPr>
          <w:rFonts w:ascii="仿宋_GB2312" w:eastAsia="仿宋_GB2312" w:hAnsi="Times New Roman" w:cs="Times New Roman" w:hint="eastAsia"/>
          <w:color w:val="000000" w:themeColor="text1"/>
          <w:sz w:val="32"/>
          <w:szCs w:val="32"/>
        </w:rPr>
        <w:t>；</w:t>
      </w:r>
      <w:r w:rsidRPr="00B14E30">
        <w:rPr>
          <w:rFonts w:ascii="仿宋_GB2312" w:eastAsia="仿宋_GB2312" w:hAnsi="Times New Roman" w:cs="Times New Roman" w:hint="eastAsia"/>
          <w:color w:val="000000" w:themeColor="text1"/>
          <w:sz w:val="32"/>
          <w:szCs w:val="32"/>
        </w:rPr>
        <w:t>广西、内蒙古理科平均分超该省控制线79.4分、68分</w:t>
      </w:r>
      <w:r w:rsidR="004606B3" w:rsidRPr="00B14E30">
        <w:rPr>
          <w:rFonts w:ascii="仿宋_GB2312" w:eastAsia="仿宋_GB2312" w:hAnsi="Times New Roman" w:cs="Times New Roman" w:hint="eastAsia"/>
          <w:color w:val="000000" w:themeColor="text1"/>
          <w:sz w:val="32"/>
          <w:szCs w:val="32"/>
        </w:rPr>
        <w:t>。2014</w:t>
      </w:r>
      <w:r w:rsidRPr="00B14E30">
        <w:rPr>
          <w:rFonts w:ascii="仿宋_GB2312" w:eastAsia="仿宋_GB2312" w:hAnsi="Times New Roman" w:cs="Times New Roman" w:hint="eastAsia"/>
          <w:color w:val="000000" w:themeColor="text1"/>
          <w:sz w:val="32"/>
          <w:szCs w:val="32"/>
        </w:rPr>
        <w:t>年招生情况较差的甘肃、湖北、山东也有了不同程度的改观。</w:t>
      </w:r>
    </w:p>
    <w:p w:rsidR="001F25F9" w:rsidRPr="00B14E30" w:rsidRDefault="001F25F9" w:rsidP="00EC3F65">
      <w:pPr>
        <w:spacing w:line="560" w:lineRule="exact"/>
        <w:ind w:firstLineChars="200" w:firstLine="640"/>
        <w:rPr>
          <w:rFonts w:ascii="仿宋_GB2312" w:eastAsia="仿宋_GB2312" w:hAnsi="Times New Roman" w:cs="仿宋_GB2312"/>
          <w:color w:val="000000" w:themeColor="text1"/>
          <w:sz w:val="32"/>
          <w:szCs w:val="32"/>
        </w:rPr>
      </w:pPr>
      <w:r w:rsidRPr="00B14E30">
        <w:rPr>
          <w:rFonts w:ascii="仿宋_GB2312" w:eastAsia="仿宋_GB2312" w:hAnsi="Times New Roman" w:cs="Times New Roman" w:hint="eastAsia"/>
          <w:color w:val="000000" w:themeColor="text1"/>
          <w:sz w:val="32"/>
          <w:szCs w:val="32"/>
        </w:rPr>
        <w:t>2015年外省区各专业平均分分差整体优于2014年，</w:t>
      </w:r>
      <w:r w:rsidRPr="00B14E30">
        <w:rPr>
          <w:rFonts w:ascii="仿宋_GB2312" w:eastAsia="仿宋_GB2312" w:hAnsi="Times New Roman" w:cs="仿宋_GB2312" w:hint="eastAsia"/>
          <w:color w:val="000000" w:themeColor="text1"/>
          <w:sz w:val="32"/>
          <w:szCs w:val="32"/>
        </w:rPr>
        <w:t>河北、内蒙古、广西、四川、吉林等5个省区除物流专业外，所有专业分差均有不同程度提高，其中广西、四川提高幅度较大。这一成绩的取得，与我们做分省分专业招生计划编制时，对各地的经济社会发展及专业需求情况所做的大量数据分析是分不开的。</w:t>
      </w:r>
    </w:p>
    <w:p w:rsidR="001F25F9" w:rsidRPr="00B14E30" w:rsidRDefault="001F25F9" w:rsidP="00EC3F65">
      <w:pPr>
        <w:spacing w:line="560" w:lineRule="exact"/>
        <w:ind w:firstLineChars="200" w:firstLine="640"/>
        <w:rPr>
          <w:rFonts w:ascii="黑体" w:eastAsia="黑体" w:hAnsi="黑体" w:cs="Times New Roman"/>
          <w:color w:val="000000" w:themeColor="text1"/>
          <w:sz w:val="32"/>
          <w:szCs w:val="32"/>
        </w:rPr>
      </w:pPr>
      <w:r w:rsidRPr="00B14E30">
        <w:rPr>
          <w:rFonts w:ascii="黑体" w:eastAsia="黑体" w:hAnsi="黑体" w:cs="Times New Roman" w:hint="eastAsia"/>
          <w:color w:val="000000" w:themeColor="text1"/>
          <w:sz w:val="32"/>
          <w:szCs w:val="32"/>
        </w:rPr>
        <w:t>二、2016年招生工作探索</w:t>
      </w:r>
    </w:p>
    <w:p w:rsidR="001F25F9" w:rsidRPr="00B14E30" w:rsidRDefault="001F25F9" w:rsidP="00EC3F65">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2015年我院招生录取工作总体情况明显好于往年，但仍存在上升潜力值得挖掘。通过研究我们发现影响高校招生工作质量的主要因素包括招生宣传效率、招生计划编制的合理性、高考改</w:t>
      </w:r>
      <w:r w:rsidRPr="00B14E30">
        <w:rPr>
          <w:rFonts w:ascii="仿宋_GB2312" w:eastAsia="仿宋_GB2312" w:hAnsi="黑体" w:cs="Times New Roman" w:hint="eastAsia"/>
          <w:color w:val="000000" w:themeColor="text1"/>
          <w:sz w:val="32"/>
          <w:szCs w:val="32"/>
        </w:rPr>
        <w:lastRenderedPageBreak/>
        <w:t>革影响等，为进一步做好2016年招生工作，发挥我院招生潜力，我们对上述影响因素进行深入研究，做出具体分析，为今年招生工作提供科学指导依据。</w:t>
      </w:r>
    </w:p>
    <w:p w:rsidR="001F25F9" w:rsidRPr="00B14E30" w:rsidRDefault="001F25F9" w:rsidP="00EC3F65">
      <w:pPr>
        <w:spacing w:line="560" w:lineRule="exact"/>
        <w:ind w:firstLineChars="200" w:firstLine="640"/>
        <w:rPr>
          <w:rFonts w:ascii="楷体_GB2312" w:eastAsia="楷体_GB2312" w:hAnsi="Calibri" w:cs="Times New Roman"/>
          <w:color w:val="000000" w:themeColor="text1"/>
          <w:sz w:val="32"/>
          <w:szCs w:val="32"/>
        </w:rPr>
      </w:pPr>
      <w:r w:rsidRPr="00B14E30">
        <w:rPr>
          <w:rFonts w:ascii="楷体_GB2312" w:eastAsia="楷体_GB2312" w:hAnsi="Calibri" w:cs="Times New Roman" w:hint="eastAsia"/>
          <w:color w:val="000000" w:themeColor="text1"/>
          <w:sz w:val="32"/>
          <w:szCs w:val="32"/>
        </w:rPr>
        <w:t>（一）学院招生宣传效率研究分析</w:t>
      </w:r>
    </w:p>
    <w:p w:rsidR="001F25F9" w:rsidRPr="00B14E30" w:rsidRDefault="001F25F9" w:rsidP="00EC3F65">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影响高校招生宣传效率的因素有很多，我们以宣传方式与宣传对象为切入点，结合我院实际情况，通过对我院2015级学生招生宣传</w:t>
      </w:r>
      <w:r w:rsidR="004606B3" w:rsidRPr="00B14E30">
        <w:rPr>
          <w:rFonts w:ascii="仿宋_GB2312" w:eastAsia="仿宋_GB2312" w:hAnsi="Calibri" w:cs="Times New Roman" w:hint="eastAsia"/>
          <w:color w:val="000000" w:themeColor="text1"/>
          <w:sz w:val="32"/>
          <w:szCs w:val="32"/>
        </w:rPr>
        <w:t>媒体</w:t>
      </w:r>
      <w:r w:rsidRPr="00B14E30">
        <w:rPr>
          <w:rFonts w:ascii="仿宋_GB2312" w:eastAsia="仿宋_GB2312" w:hAnsi="Calibri" w:cs="Times New Roman" w:hint="eastAsia"/>
          <w:color w:val="000000" w:themeColor="text1"/>
          <w:sz w:val="32"/>
          <w:szCs w:val="32"/>
        </w:rPr>
        <w:t>问卷调查及历年省内生源来源情况的分析，找到适合我院的高效宣传途径与宣传方法，摸清省内重点生源城市及生源高中，为2016年招生宣传工作指明方向。</w:t>
      </w:r>
    </w:p>
    <w:p w:rsidR="001F25F9" w:rsidRPr="00B14E30" w:rsidRDefault="001F25F9" w:rsidP="00EC3F65">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1．</w:t>
      </w:r>
      <w:r w:rsidR="00821AE7" w:rsidRPr="00B14E30">
        <w:rPr>
          <w:rFonts w:ascii="仿宋_GB2312" w:eastAsia="仿宋_GB2312" w:hAnsi="Times New Roman" w:cs="Times New Roman" w:hint="eastAsia"/>
          <w:color w:val="000000" w:themeColor="text1"/>
          <w:sz w:val="32"/>
          <w:szCs w:val="32"/>
        </w:rPr>
        <w:t>招生宣传媒体问卷调查分析</w:t>
      </w:r>
    </w:p>
    <w:p w:rsidR="001F25F9" w:rsidRPr="00B14E30" w:rsidRDefault="001F25F9" w:rsidP="00EC3F65">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面向2015级新生的招生宣传</w:t>
      </w:r>
      <w:r w:rsidR="00083CF4" w:rsidRPr="00B14E30">
        <w:rPr>
          <w:rFonts w:ascii="仿宋_GB2312" w:eastAsia="仿宋_GB2312" w:hAnsi="Calibri" w:cs="Times New Roman" w:hint="eastAsia"/>
          <w:color w:val="000000" w:themeColor="text1"/>
          <w:sz w:val="32"/>
          <w:szCs w:val="32"/>
        </w:rPr>
        <w:t>媒体</w:t>
      </w:r>
      <w:r w:rsidRPr="00B14E30">
        <w:rPr>
          <w:rFonts w:ascii="仿宋_GB2312" w:eastAsia="仿宋_GB2312" w:hAnsi="Calibri" w:cs="Times New Roman" w:hint="eastAsia"/>
          <w:color w:val="000000" w:themeColor="text1"/>
          <w:sz w:val="32"/>
          <w:szCs w:val="32"/>
        </w:rPr>
        <w:t>调查问卷</w:t>
      </w:r>
      <w:r w:rsidR="00FE0584" w:rsidRPr="00B14E30">
        <w:rPr>
          <w:rFonts w:ascii="仿宋_GB2312" w:eastAsia="仿宋_GB2312" w:hAnsi="Calibri" w:cs="Times New Roman" w:hint="eastAsia"/>
          <w:color w:val="000000" w:themeColor="text1"/>
          <w:sz w:val="32"/>
          <w:szCs w:val="32"/>
        </w:rPr>
        <w:t>分析</w:t>
      </w:r>
      <w:r w:rsidRPr="00B14E30">
        <w:rPr>
          <w:rFonts w:ascii="仿宋_GB2312" w:eastAsia="仿宋_GB2312" w:hAnsi="Calibri" w:cs="Times New Roman" w:hint="eastAsia"/>
          <w:color w:val="000000" w:themeColor="text1"/>
          <w:sz w:val="32"/>
          <w:szCs w:val="32"/>
        </w:rPr>
        <w:t>可以更为直接的了解到我院在招生宣传方面存在的不足和缺陷，对进一步做好招生工作具有积极意义。</w:t>
      </w:r>
    </w:p>
    <w:p w:rsidR="001F25F9" w:rsidRPr="00B14E30" w:rsidRDefault="001F25F9" w:rsidP="00EC3F65">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（1）调查问卷概述</w:t>
      </w:r>
    </w:p>
    <w:p w:rsidR="001F25F9" w:rsidRPr="00B14E30" w:rsidRDefault="001F25F9" w:rsidP="00EC3F65">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本次调查面向营口理工学院2015级的1001名在校生，收到回馈问卷817份，问卷回收率81.7%，有效问卷817份，有效率为81.7%。</w:t>
      </w:r>
    </w:p>
    <w:p w:rsidR="001F25F9" w:rsidRPr="00B14E30" w:rsidRDefault="001F25F9" w:rsidP="00EC3F65">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本调查问卷包括单选题、多选题及填空题，部分选择题设有开放选项，受调查者可填写备选选项以外的答案。问卷中涉及的问题包括：重点了解学生获取我校招生信息的渠道，以及学生对我校招生宣传、日常管理、发展建设等一系列建议。</w:t>
      </w:r>
    </w:p>
    <w:p w:rsidR="001F25F9" w:rsidRPr="00B14E30" w:rsidRDefault="001F25F9" w:rsidP="00EC3F65">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（2）调查结果分析</w:t>
      </w:r>
    </w:p>
    <w:p w:rsidR="001F25F9" w:rsidRPr="00B14E30" w:rsidRDefault="001F25F9" w:rsidP="00A26E56">
      <w:pPr>
        <w:spacing w:line="560" w:lineRule="exact"/>
        <w:ind w:firstLineChars="200" w:firstLine="640"/>
        <w:rPr>
          <w:rFonts w:ascii="仿宋_GB2312" w:eastAsia="仿宋_GB2312" w:hAnsi="Times New Roman" w:cs="经典叠圆体简"/>
          <w:color w:val="000000" w:themeColor="text1"/>
          <w:sz w:val="32"/>
          <w:szCs w:val="32"/>
        </w:rPr>
      </w:pPr>
      <w:r w:rsidRPr="00B14E30">
        <w:rPr>
          <w:rFonts w:ascii="仿宋_GB2312" w:eastAsia="仿宋_GB2312" w:hAnsi="宋体" w:cs="经典叠圆体简" w:hint="eastAsia"/>
          <w:color w:val="000000" w:themeColor="text1"/>
          <w:sz w:val="32"/>
          <w:szCs w:val="32"/>
        </w:rPr>
        <w:lastRenderedPageBreak/>
        <w:t>①</w:t>
      </w:r>
      <w:r w:rsidRPr="00B14E30">
        <w:rPr>
          <w:rFonts w:ascii="仿宋_GB2312" w:eastAsia="仿宋_GB2312" w:hAnsi="Times New Roman" w:cs="经典叠圆体简" w:hint="eastAsia"/>
          <w:color w:val="000000" w:themeColor="text1"/>
          <w:sz w:val="32"/>
          <w:szCs w:val="32"/>
        </w:rPr>
        <w:t>填报高考志愿时，主要参照的意见：（多选题）</w:t>
      </w:r>
    </w:p>
    <w:p w:rsidR="001F25F9" w:rsidRPr="00B14E30" w:rsidRDefault="001F25F9" w:rsidP="001F25F9">
      <w:pPr>
        <w:widowControl/>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noProof/>
          <w:color w:val="000000" w:themeColor="text1"/>
          <w:sz w:val="32"/>
          <w:szCs w:val="32"/>
        </w:rPr>
        <w:drawing>
          <wp:inline distT="0" distB="0" distL="0" distR="0">
            <wp:extent cx="3126105" cy="27539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6105" cy="2753995"/>
                    </a:xfrm>
                    <a:prstGeom prst="rect">
                      <a:avLst/>
                    </a:prstGeom>
                    <a:noFill/>
                    <a:ln>
                      <a:noFill/>
                    </a:ln>
                  </pic:spPr>
                </pic:pic>
              </a:graphicData>
            </a:graphic>
          </wp:inline>
        </w:drawing>
      </w:r>
    </w:p>
    <w:p w:rsidR="001F25F9" w:rsidRPr="00B14E30" w:rsidRDefault="001F25F9" w:rsidP="004606B3">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图2.1 各选项比例分布情况</w:t>
      </w:r>
    </w:p>
    <w:p w:rsidR="001F25F9" w:rsidRPr="00B14E30" w:rsidRDefault="001F25F9" w:rsidP="004606B3">
      <w:pPr>
        <w:widowControl/>
        <w:spacing w:line="560" w:lineRule="exact"/>
        <w:ind w:firstLineChars="200" w:firstLine="640"/>
        <w:rPr>
          <w:rFonts w:ascii="仿宋_GB2312" w:eastAsia="仿宋_GB2312" w:hAnsi="微软雅黑" w:cs="Times New Roman"/>
          <w:color w:val="000000" w:themeColor="text1"/>
          <w:sz w:val="32"/>
          <w:szCs w:val="32"/>
        </w:rPr>
      </w:pPr>
      <w:r w:rsidRPr="00B14E30">
        <w:rPr>
          <w:rFonts w:ascii="仿宋_GB2312" w:eastAsia="仿宋_GB2312" w:hAnsi="微软雅黑" w:cs="Times New Roman" w:hint="eastAsia"/>
          <w:color w:val="000000" w:themeColor="text1"/>
          <w:sz w:val="32"/>
          <w:szCs w:val="32"/>
        </w:rPr>
        <w:t>从调查统计结果来看，家长、亲友及高中老师，依然是影响考生填报志愿的重要因素，所以应通过家长会、各个社会群团组织加强与考生家长的联系，积极在“家长圈”中树立学院良好形象，营造有利于招生宣传的良好氛围。</w:t>
      </w:r>
      <w:r w:rsidR="004606B3" w:rsidRPr="00B14E30">
        <w:rPr>
          <w:rFonts w:ascii="仿宋_GB2312" w:eastAsia="仿宋_GB2312" w:hAnsi="微软雅黑" w:cs="Times New Roman" w:hint="eastAsia"/>
          <w:color w:val="000000" w:themeColor="text1"/>
          <w:sz w:val="32"/>
          <w:szCs w:val="32"/>
        </w:rPr>
        <w:t>同时</w:t>
      </w:r>
      <w:r w:rsidRPr="00B14E30">
        <w:rPr>
          <w:rFonts w:ascii="仿宋_GB2312" w:eastAsia="仿宋_GB2312" w:hAnsi="微软雅黑" w:cs="Times New Roman" w:hint="eastAsia"/>
          <w:color w:val="000000" w:themeColor="text1"/>
          <w:sz w:val="32"/>
          <w:szCs w:val="32"/>
        </w:rPr>
        <w:t>，应细化招生宣传方案，针对不同身份角色，应有相对应的宣传</w:t>
      </w:r>
      <w:r w:rsidR="004606B3" w:rsidRPr="00B14E30">
        <w:rPr>
          <w:rFonts w:ascii="仿宋_GB2312" w:eastAsia="仿宋_GB2312" w:hAnsi="微软雅黑" w:cs="Times New Roman" w:hint="eastAsia"/>
          <w:color w:val="000000" w:themeColor="text1"/>
          <w:sz w:val="32"/>
          <w:szCs w:val="32"/>
        </w:rPr>
        <w:t>策略</w:t>
      </w:r>
      <w:r w:rsidRPr="00B14E30">
        <w:rPr>
          <w:rFonts w:ascii="仿宋_GB2312" w:eastAsia="仿宋_GB2312" w:hAnsi="微软雅黑" w:cs="Times New Roman" w:hint="eastAsia"/>
          <w:color w:val="000000" w:themeColor="text1"/>
          <w:sz w:val="32"/>
          <w:szCs w:val="32"/>
        </w:rPr>
        <w:t>。例如，考生本身倾向于感兴趣的专业、学校所在城市；家长及亲友倾向于未来就业、学校环境；高中老师倾向于被录取的成功率、就业等。</w:t>
      </w:r>
    </w:p>
    <w:p w:rsidR="001F25F9" w:rsidRPr="00B14E30" w:rsidRDefault="001F25F9" w:rsidP="004606B3">
      <w:pPr>
        <w:widowControl/>
        <w:spacing w:line="560" w:lineRule="exact"/>
        <w:ind w:firstLineChars="200" w:firstLine="640"/>
        <w:rPr>
          <w:rFonts w:ascii="仿宋_GB2312" w:eastAsia="仿宋_GB2312" w:hAnsi="微软雅黑" w:cs="Times New Roman"/>
          <w:color w:val="000000" w:themeColor="text1"/>
          <w:sz w:val="32"/>
          <w:szCs w:val="32"/>
        </w:rPr>
      </w:pPr>
      <w:r w:rsidRPr="00B14E30">
        <w:rPr>
          <w:rFonts w:ascii="仿宋_GB2312" w:eastAsia="仿宋_GB2312" w:hAnsi="Cambria" w:cs="Cambria Math" w:hint="eastAsia"/>
          <w:color w:val="000000" w:themeColor="text1"/>
          <w:kern w:val="0"/>
          <w:sz w:val="32"/>
          <w:szCs w:val="32"/>
        </w:rPr>
        <w:t>②</w:t>
      </w:r>
      <w:r w:rsidRPr="00B14E30">
        <w:rPr>
          <w:rFonts w:ascii="仿宋_GB2312" w:eastAsia="仿宋_GB2312" w:hAnsi="微软雅黑" w:cs="Times New Roman" w:hint="eastAsia"/>
          <w:color w:val="000000" w:themeColor="text1"/>
          <w:sz w:val="32"/>
          <w:szCs w:val="32"/>
        </w:rPr>
        <w:t>学生喜欢通过哪种方式进行招生信息咨询：（多选题）</w:t>
      </w:r>
    </w:p>
    <w:p w:rsidR="001F25F9" w:rsidRPr="00B14E30" w:rsidRDefault="001F25F9" w:rsidP="001F25F9">
      <w:pPr>
        <w:widowControl/>
        <w:jc w:val="center"/>
        <w:rPr>
          <w:rFonts w:ascii="仿宋_GB2312" w:eastAsia="仿宋_GB2312" w:hAnsi="微软雅黑" w:cs="Times New Roman"/>
          <w:color w:val="000000" w:themeColor="text1"/>
          <w:sz w:val="32"/>
          <w:szCs w:val="32"/>
        </w:rPr>
      </w:pPr>
      <w:r w:rsidRPr="00B14E30">
        <w:rPr>
          <w:rFonts w:ascii="仿宋_GB2312" w:eastAsia="仿宋_GB2312" w:hAnsi="微软雅黑" w:cs="Times New Roman"/>
          <w:noProof/>
          <w:color w:val="000000" w:themeColor="text1"/>
          <w:sz w:val="32"/>
          <w:szCs w:val="32"/>
        </w:rPr>
        <w:lastRenderedPageBreak/>
        <w:drawing>
          <wp:inline distT="0" distB="0" distL="0" distR="0">
            <wp:extent cx="3742690" cy="3263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690" cy="3263900"/>
                    </a:xfrm>
                    <a:prstGeom prst="rect">
                      <a:avLst/>
                    </a:prstGeom>
                    <a:noFill/>
                    <a:ln>
                      <a:noFill/>
                    </a:ln>
                  </pic:spPr>
                </pic:pic>
              </a:graphicData>
            </a:graphic>
          </wp:inline>
        </w:drawing>
      </w:r>
    </w:p>
    <w:p w:rsidR="001F25F9" w:rsidRPr="00B14E30" w:rsidRDefault="001F25F9" w:rsidP="001F25F9">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图2.2 各选项比例分布情况</w:t>
      </w:r>
    </w:p>
    <w:p w:rsidR="001F25F9" w:rsidRPr="00B14E30" w:rsidRDefault="001F25F9" w:rsidP="001F25F9">
      <w:pPr>
        <w:widowControl/>
        <w:spacing w:line="560" w:lineRule="exact"/>
        <w:ind w:firstLineChars="200" w:firstLine="640"/>
        <w:rPr>
          <w:rFonts w:ascii="仿宋_GB2312" w:eastAsia="仿宋_GB2312" w:hAnsi="微软雅黑" w:cs="Times New Roman"/>
          <w:color w:val="000000" w:themeColor="text1"/>
          <w:sz w:val="32"/>
          <w:szCs w:val="32"/>
        </w:rPr>
      </w:pPr>
      <w:r w:rsidRPr="00B14E30">
        <w:rPr>
          <w:rFonts w:ascii="仿宋_GB2312" w:eastAsia="仿宋_GB2312" w:hAnsi="微软雅黑" w:cs="Times New Roman" w:hint="eastAsia"/>
          <w:color w:val="000000" w:themeColor="text1"/>
          <w:sz w:val="32"/>
          <w:szCs w:val="32"/>
        </w:rPr>
        <w:t>从调查统计结果来看，相比传统的电话咨询，考生更愿意选择通过网络渠道进行信息咨询，这符合00后学生的生活思维习惯，也对高校招生工作提出了新的课题：如何在“互联网+”模式下开展高校招生宣传工作。我院的招生信息服务中心正是在这种背景下组建而成的，中心旨在借助网络新媒体树立学校品牌形象，以微信、微博、贴吧、QQ咨询群等热门媒体为宣传媒介，逐步健全我校网络招生宣传机制，为广大考生和家长建立一条集宣传、交流、咨询、答疑于一体的快捷网络服务通道。</w:t>
      </w:r>
    </w:p>
    <w:p w:rsidR="001F25F9" w:rsidRPr="00B14E30" w:rsidRDefault="001F25F9" w:rsidP="001F25F9">
      <w:pPr>
        <w:widowControl/>
        <w:spacing w:line="560" w:lineRule="exact"/>
        <w:ind w:firstLineChars="200" w:firstLine="640"/>
        <w:rPr>
          <w:rFonts w:ascii="Calibri" w:eastAsia="宋体" w:hAnsi="Calibri" w:cs="Times New Roman"/>
          <w:color w:val="000000" w:themeColor="text1"/>
          <w:szCs w:val="21"/>
        </w:rPr>
      </w:pPr>
      <w:r w:rsidRPr="00B14E30">
        <w:rPr>
          <w:rFonts w:ascii="仿宋_GB2312" w:eastAsia="仿宋_GB2312" w:hAnsi="Cambria" w:cs="Cambria Math" w:hint="eastAsia"/>
          <w:color w:val="000000" w:themeColor="text1"/>
          <w:kern w:val="0"/>
          <w:sz w:val="32"/>
          <w:szCs w:val="32"/>
        </w:rPr>
        <w:t>③</w:t>
      </w:r>
      <w:r w:rsidRPr="00B14E30">
        <w:rPr>
          <w:rFonts w:ascii="仿宋_GB2312" w:eastAsia="仿宋_GB2312" w:hAnsi="Calibri" w:cs="Times New Roman" w:hint="eastAsia"/>
          <w:color w:val="000000" w:themeColor="text1"/>
          <w:sz w:val="32"/>
          <w:szCs w:val="32"/>
        </w:rPr>
        <w:t>学生获取营口理工学院招生信息的渠道：（多选题）</w:t>
      </w:r>
    </w:p>
    <w:p w:rsidR="001F25F9" w:rsidRPr="00B14E30" w:rsidRDefault="001F25F9" w:rsidP="001F25F9">
      <w:pPr>
        <w:widowControl/>
        <w:jc w:val="left"/>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5475605" cy="2785745"/>
            <wp:effectExtent l="0" t="0" r="0" b="0"/>
            <wp:docPr id="7" name="图片 7" descr="(C472QAXV`~PMY{JL33N}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472QAXV`~PMY{JL33N}9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5605" cy="2785745"/>
                    </a:xfrm>
                    <a:prstGeom prst="rect">
                      <a:avLst/>
                    </a:prstGeom>
                    <a:noFill/>
                    <a:ln>
                      <a:noFill/>
                    </a:ln>
                  </pic:spPr>
                </pic:pic>
              </a:graphicData>
            </a:graphic>
          </wp:inline>
        </w:drawing>
      </w:r>
    </w:p>
    <w:p w:rsidR="001F25F9" w:rsidRPr="00B14E30" w:rsidRDefault="001F25F9" w:rsidP="00A26E56">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图2.3 各选项比例分布情况</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如图2.3，考生获取我院招生信息的主要渠道是各省招办主办的志愿报考指导杂志，达到78.57%。其次是通过网站宣传、网络聊天平台宣传、微博、微信，此三项合计53.72%；考生通过校内条幅、海报、高考咨询会及招办老师当面宣传等渠道了解我校信息的占24.34%；通过高中老师宣传、推荐了解我院信息的占15.34%。</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官方主办的高考志愿填报杂志因其强大的权威性和高普及率成为考生获取我校招生信息的主要渠道，网络搜索及新媒体以其丰富的信息容量与便捷的咨询方式逐渐成为考生获取高校招生信息的主要渠道，也势必成为高校在新形势下进行招生宣传的利器。</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Cs w:val="21"/>
        </w:rPr>
      </w:pPr>
      <w:r w:rsidRPr="00B14E30">
        <w:rPr>
          <w:rFonts w:ascii="仿宋_GB2312" w:eastAsia="仿宋_GB2312" w:hAnsi="Cambria" w:cs="Cambria Math" w:hint="eastAsia"/>
          <w:color w:val="000000" w:themeColor="text1"/>
          <w:kern w:val="0"/>
          <w:sz w:val="32"/>
          <w:szCs w:val="32"/>
        </w:rPr>
        <w:t>④</w:t>
      </w:r>
      <w:r w:rsidRPr="00B14E30">
        <w:rPr>
          <w:rFonts w:ascii="仿宋_GB2312" w:eastAsia="仿宋_GB2312" w:hAnsi="Calibri" w:cs="Times New Roman" w:hint="eastAsia"/>
          <w:color w:val="000000" w:themeColor="text1"/>
          <w:sz w:val="32"/>
          <w:szCs w:val="32"/>
        </w:rPr>
        <w:t>学生选择营口理工学院的原因：（多选题）</w:t>
      </w:r>
    </w:p>
    <w:p w:rsidR="001F25F9" w:rsidRPr="00B14E30" w:rsidRDefault="001F25F9" w:rsidP="001F25F9">
      <w:pPr>
        <w:widowControl/>
        <w:jc w:val="left"/>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5688330" cy="2870835"/>
            <wp:effectExtent l="0" t="0" r="7620" b="5715"/>
            <wp:docPr id="6" name="图片 6" descr="U9MSVC4_37MH$21D)QSJY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U9MSVC4_37MH$21D)QSJYZC"/>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330" cy="2870835"/>
                    </a:xfrm>
                    <a:prstGeom prst="rect">
                      <a:avLst/>
                    </a:prstGeom>
                    <a:noFill/>
                    <a:ln>
                      <a:noFill/>
                    </a:ln>
                  </pic:spPr>
                </pic:pic>
              </a:graphicData>
            </a:graphic>
          </wp:inline>
        </w:drawing>
      </w:r>
    </w:p>
    <w:p w:rsidR="001F25F9" w:rsidRPr="00B14E30" w:rsidRDefault="001F25F9" w:rsidP="00A26E56">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图2.4 各选项比例分布情况</w:t>
      </w:r>
    </w:p>
    <w:p w:rsidR="001F25F9" w:rsidRPr="00B14E30" w:rsidRDefault="001F25F9" w:rsidP="00A26E56">
      <w:pPr>
        <w:spacing w:line="560" w:lineRule="exact"/>
        <w:ind w:firstLineChars="200" w:firstLine="640"/>
        <w:rPr>
          <w:rFonts w:ascii="仿宋_GB2312" w:eastAsia="仿宋_GB2312" w:hAnsi="仿宋_GB2312" w:cs="仿宋_GB2312"/>
          <w:color w:val="000000" w:themeColor="text1"/>
          <w:sz w:val="32"/>
          <w:szCs w:val="32"/>
        </w:rPr>
      </w:pPr>
      <w:r w:rsidRPr="00B14E30">
        <w:rPr>
          <w:rFonts w:ascii="仿宋_GB2312" w:eastAsia="仿宋_GB2312" w:hAnsi="Calibri" w:cs="Times New Roman" w:hint="eastAsia"/>
          <w:color w:val="000000" w:themeColor="text1"/>
          <w:sz w:val="32"/>
          <w:szCs w:val="32"/>
        </w:rPr>
        <w:t>如图2.4，此题选项占比相对平均，可见考生报考院校是一个十分复杂，需要多方面考虑的过程。学校所在区域，办学条件，就业前景依然是最受关注的三个因素。因新建院校办学条件好而报考我校的占到40.57%，可以作为我院今后宣传的重点之一。因喜欢我院所在城市营口而报考的也占到26%，说明</w:t>
      </w:r>
      <w:r w:rsidRPr="00B14E30">
        <w:rPr>
          <w:rFonts w:ascii="仿宋_GB2312" w:eastAsia="仿宋_GB2312" w:hAnsi="仿宋_GB2312" w:cs="仿宋_GB2312" w:hint="eastAsia"/>
          <w:color w:val="000000" w:themeColor="text1"/>
          <w:sz w:val="32"/>
          <w:szCs w:val="32"/>
        </w:rPr>
        <w:t>以展示营口市整体形象而提高我院知名度的宣传策略是切实可行的，在今后的工作中应以营口作为滨海城市优美宜人的自然环境为宣传点，注重树立品牌效应，创建良好的社会声誉，吸引更多的考生选择营口，选择我院。</w:t>
      </w:r>
    </w:p>
    <w:p w:rsidR="004248A5" w:rsidRPr="00B14E30" w:rsidRDefault="004248A5" w:rsidP="00A26E56">
      <w:pPr>
        <w:spacing w:line="560" w:lineRule="exact"/>
        <w:ind w:firstLineChars="200" w:firstLine="640"/>
        <w:rPr>
          <w:rFonts w:ascii="仿宋_GB2312" w:eastAsia="仿宋_GB2312" w:hAnsi="仿宋_GB2312" w:cs="仿宋_GB2312"/>
          <w:color w:val="000000" w:themeColor="text1"/>
          <w:sz w:val="32"/>
          <w:szCs w:val="32"/>
        </w:rPr>
      </w:pPr>
      <w:r w:rsidRPr="00B14E30">
        <w:rPr>
          <w:rFonts w:ascii="仿宋_GB2312" w:eastAsia="仿宋_GB2312" w:hAnsi="Cambria" w:cs="Cambria Math" w:hint="eastAsia"/>
          <w:color w:val="000000" w:themeColor="text1"/>
          <w:kern w:val="0"/>
          <w:sz w:val="32"/>
          <w:szCs w:val="32"/>
        </w:rPr>
        <w:t>⑤</w:t>
      </w:r>
      <w:r w:rsidRPr="00B14E30">
        <w:rPr>
          <w:rFonts w:ascii="仿宋_GB2312" w:eastAsia="仿宋_GB2312" w:hAnsi="Calibri" w:cs="Times New Roman" w:hint="eastAsia"/>
          <w:color w:val="000000" w:themeColor="text1"/>
          <w:sz w:val="32"/>
          <w:szCs w:val="32"/>
        </w:rPr>
        <w:t>你认为营口理工学院招生信息网的哪些栏目较好，哪些需改善：(多选题)</w:t>
      </w:r>
    </w:p>
    <w:p w:rsidR="001F25F9" w:rsidRPr="00B14E30" w:rsidRDefault="004248A5" w:rsidP="004248A5">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Times New Roman" w:cs="Times New Roman" w:hint="eastAsia"/>
          <w:noProof/>
          <w:color w:val="000000" w:themeColor="text1"/>
          <w:szCs w:val="24"/>
        </w:rPr>
        <w:lastRenderedPageBreak/>
        <w:drawing>
          <wp:anchor distT="0" distB="0" distL="114300" distR="114300" simplePos="0" relativeHeight="251665408" behindDoc="0" locked="0" layoutInCell="1" allowOverlap="1">
            <wp:simplePos x="0" y="0"/>
            <wp:positionH relativeFrom="column">
              <wp:posOffset>2813050</wp:posOffset>
            </wp:positionH>
            <wp:positionV relativeFrom="paragraph">
              <wp:posOffset>100330</wp:posOffset>
            </wp:positionV>
            <wp:extent cx="2828925" cy="2479675"/>
            <wp:effectExtent l="0" t="0" r="9525"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479675"/>
                    </a:xfrm>
                    <a:prstGeom prst="rect">
                      <a:avLst/>
                    </a:prstGeom>
                    <a:noFill/>
                    <a:ln>
                      <a:noFill/>
                    </a:ln>
                  </pic:spPr>
                </pic:pic>
              </a:graphicData>
            </a:graphic>
          </wp:anchor>
        </w:drawing>
      </w:r>
      <w:r w:rsidRPr="00B14E30">
        <w:rPr>
          <w:rFonts w:ascii="仿宋_GB2312" w:eastAsia="仿宋_GB2312" w:hAnsi="Times New Roman" w:cs="Times New Roman" w:hint="eastAsia"/>
          <w:noProof/>
          <w:color w:val="000000" w:themeColor="text1"/>
          <w:szCs w:val="24"/>
        </w:rPr>
        <w:drawing>
          <wp:anchor distT="0" distB="0" distL="114300" distR="114300" simplePos="0" relativeHeight="251664384" behindDoc="0" locked="0" layoutInCell="1" allowOverlap="1">
            <wp:simplePos x="0" y="0"/>
            <wp:positionH relativeFrom="column">
              <wp:posOffset>-97790</wp:posOffset>
            </wp:positionH>
            <wp:positionV relativeFrom="paragraph">
              <wp:posOffset>100330</wp:posOffset>
            </wp:positionV>
            <wp:extent cx="2815590" cy="2498090"/>
            <wp:effectExtent l="0" t="0" r="381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590" cy="2498090"/>
                    </a:xfrm>
                    <a:prstGeom prst="rect">
                      <a:avLst/>
                    </a:prstGeom>
                    <a:noFill/>
                    <a:ln>
                      <a:noFill/>
                    </a:ln>
                  </pic:spPr>
                </pic:pic>
              </a:graphicData>
            </a:graphic>
          </wp:anchor>
        </w:drawing>
      </w:r>
      <w:r w:rsidR="001F25F9" w:rsidRPr="00B14E30">
        <w:rPr>
          <w:rFonts w:ascii="仿宋_GB2312" w:eastAsia="仿宋_GB2312" w:hAnsi="Calibri" w:cs="Times New Roman" w:hint="eastAsia"/>
          <w:color w:val="000000" w:themeColor="text1"/>
          <w:sz w:val="32"/>
          <w:szCs w:val="32"/>
        </w:rPr>
        <w:t>图2.5 各选项比例分布情况</w:t>
      </w:r>
    </w:p>
    <w:p w:rsidR="001F25F9" w:rsidRPr="00B14E30" w:rsidRDefault="001F25F9" w:rsidP="004248A5">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如图2.5，我院招生信息网各板块还存在不完善的地方，网站改版势在必行。</w:t>
      </w:r>
    </w:p>
    <w:p w:rsidR="001F25F9" w:rsidRPr="00B14E30" w:rsidRDefault="001F25F9" w:rsidP="004248A5">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Cambria" w:cs="Cambria Math" w:hint="eastAsia"/>
          <w:color w:val="000000" w:themeColor="text1"/>
          <w:kern w:val="0"/>
          <w:sz w:val="32"/>
          <w:szCs w:val="32"/>
        </w:rPr>
        <w:t>⑥</w:t>
      </w:r>
      <w:r w:rsidRPr="00B14E30">
        <w:rPr>
          <w:rFonts w:ascii="仿宋_GB2312" w:eastAsia="仿宋_GB2312" w:hAnsi="黑体" w:cs="Times New Roman" w:hint="eastAsia"/>
          <w:color w:val="000000" w:themeColor="text1"/>
          <w:sz w:val="32"/>
          <w:szCs w:val="32"/>
        </w:rPr>
        <w:t>你在填报志愿期间是否获得或阅读了我校的招生简章或者其它宣传材料：(单选题)</w:t>
      </w:r>
    </w:p>
    <w:p w:rsidR="001F25F9" w:rsidRPr="00B14E30" w:rsidRDefault="001F25F9" w:rsidP="001F25F9">
      <w:pPr>
        <w:widowControl/>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noProof/>
          <w:color w:val="000000" w:themeColor="text1"/>
          <w:sz w:val="32"/>
          <w:szCs w:val="32"/>
        </w:rPr>
        <w:drawing>
          <wp:inline distT="0" distB="0" distL="0" distR="0">
            <wp:extent cx="2402840" cy="2084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840" cy="2084070"/>
                    </a:xfrm>
                    <a:prstGeom prst="rect">
                      <a:avLst/>
                    </a:prstGeom>
                    <a:noFill/>
                    <a:ln>
                      <a:noFill/>
                    </a:ln>
                  </pic:spPr>
                </pic:pic>
              </a:graphicData>
            </a:graphic>
          </wp:inline>
        </w:drawing>
      </w:r>
    </w:p>
    <w:p w:rsidR="001F25F9" w:rsidRPr="00B14E30" w:rsidRDefault="001F25F9" w:rsidP="00A26E56">
      <w:pPr>
        <w:widowControl/>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图2.6 各选项比例分布情况</w:t>
      </w:r>
    </w:p>
    <w:p w:rsidR="001F25F9" w:rsidRPr="00B14E30" w:rsidRDefault="001F25F9" w:rsidP="00A26E56">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如图2.6，多数考生在填报志愿时获得或阅读过我院相关宣传材料，说明我院宣传工作达到了既定的效果。</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mbria" w:cs="Cambria Math" w:hint="eastAsia"/>
          <w:color w:val="000000" w:themeColor="text1"/>
          <w:kern w:val="0"/>
          <w:sz w:val="32"/>
          <w:szCs w:val="32"/>
        </w:rPr>
        <w:lastRenderedPageBreak/>
        <w:t>⑦</w:t>
      </w:r>
      <w:r w:rsidRPr="00B14E30">
        <w:rPr>
          <w:rFonts w:ascii="仿宋_GB2312" w:eastAsia="仿宋_GB2312" w:hAnsi="Calibri" w:cs="Times New Roman" w:hint="eastAsia"/>
          <w:color w:val="000000" w:themeColor="text1"/>
          <w:sz w:val="32"/>
          <w:szCs w:val="32"/>
        </w:rPr>
        <w:t>你对宣传和推广营口理工学院，有什么样好的想法和建议 (填空题)</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本题为填空题，收回答案209份，主要建议集中归纳如下： 网络新媒体宣传与传统走访宣传相结合，宣传营口与宣传学院相结合，以宣传营口为重点。增加学院所获荣誉、专业优势、社会实践、教育教学风采等内容介绍。</w:t>
      </w:r>
    </w:p>
    <w:p w:rsidR="001F25F9" w:rsidRPr="00B14E30" w:rsidRDefault="001F25F9" w:rsidP="00A26E56">
      <w:pPr>
        <w:widowControl/>
        <w:spacing w:line="560" w:lineRule="exact"/>
        <w:ind w:firstLineChars="200" w:firstLine="640"/>
        <w:rPr>
          <w:rFonts w:ascii="仿宋_GB2312" w:eastAsia="仿宋_GB2312" w:hAnsi="黑体" w:cs="宋体"/>
          <w:color w:val="000000" w:themeColor="text1"/>
          <w:sz w:val="32"/>
          <w:szCs w:val="32"/>
        </w:rPr>
      </w:pPr>
      <w:r w:rsidRPr="00B14E30">
        <w:rPr>
          <w:rFonts w:ascii="仿宋_GB2312" w:eastAsia="仿宋_GB2312" w:hAnsi="Cambria" w:cs="Cambria Math" w:hint="eastAsia"/>
          <w:color w:val="000000" w:themeColor="text1"/>
          <w:kern w:val="0"/>
          <w:sz w:val="32"/>
          <w:szCs w:val="32"/>
        </w:rPr>
        <w:t>⑧</w:t>
      </w:r>
      <w:r w:rsidRPr="00B14E30">
        <w:rPr>
          <w:rFonts w:ascii="仿宋_GB2312" w:eastAsia="仿宋_GB2312" w:hAnsi="黑体" w:cs="宋体" w:hint="eastAsia"/>
          <w:color w:val="000000" w:themeColor="text1"/>
          <w:sz w:val="32"/>
          <w:szCs w:val="32"/>
        </w:rPr>
        <w:t>你对营口理工学院招生信息网的建设或对招生简章的制作有哪些好的想法和建议 (填空题)：</w:t>
      </w:r>
    </w:p>
    <w:p w:rsidR="001F25F9" w:rsidRPr="00B14E30" w:rsidRDefault="001F25F9" w:rsidP="00A26E56">
      <w:pPr>
        <w:widowControl/>
        <w:spacing w:line="560" w:lineRule="exact"/>
        <w:ind w:firstLineChars="200" w:firstLine="640"/>
        <w:rPr>
          <w:rFonts w:ascii="仿宋_GB2312" w:eastAsia="仿宋_GB2312" w:hAnsi="宋体" w:cs="宋体"/>
          <w:color w:val="000000" w:themeColor="text1"/>
          <w:sz w:val="32"/>
          <w:szCs w:val="32"/>
        </w:rPr>
      </w:pPr>
      <w:r w:rsidRPr="00B14E30">
        <w:rPr>
          <w:rFonts w:ascii="仿宋_GB2312" w:eastAsia="仿宋_GB2312" w:hAnsi="宋体" w:cs="宋体" w:hint="eastAsia"/>
          <w:color w:val="000000" w:themeColor="text1"/>
          <w:sz w:val="32"/>
          <w:szCs w:val="32"/>
        </w:rPr>
        <w:t>本题为填空题，收回答案161份，主要建议集中归纳如下：宣传材料应</w:t>
      </w:r>
      <w:r w:rsidRPr="00B14E30">
        <w:rPr>
          <w:rFonts w:ascii="仿宋_GB2312" w:eastAsia="仿宋_GB2312" w:hAnsi="黑体" w:cs="宋体" w:hint="eastAsia"/>
          <w:color w:val="000000" w:themeColor="text1"/>
          <w:sz w:val="32"/>
          <w:szCs w:val="32"/>
        </w:rPr>
        <w:t>通俗易懂，网页风格舒适，</w:t>
      </w:r>
      <w:r w:rsidRPr="00B14E30">
        <w:rPr>
          <w:rFonts w:ascii="仿宋_GB2312" w:eastAsia="仿宋_GB2312" w:hAnsi="宋体" w:cs="宋体" w:hint="eastAsia"/>
          <w:color w:val="000000" w:themeColor="text1"/>
          <w:sz w:val="32"/>
          <w:szCs w:val="32"/>
        </w:rPr>
        <w:t>突出对学校整体的介绍，重点介绍师资、专业优势和实践课程设计等内容，加强对就业前景的宣传；利用图片做好宣传，包括校园及周边风光的图片，学生实践风采和校园文化活动图片，利用图片吸引眼球；模仿重点大学的网站做改进；整体的风格应该是亲切，反映人文精神的内涵；注重宣传办学特色和管理模式。</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2．历年省内生源来源情况分析</w:t>
      </w:r>
    </w:p>
    <w:p w:rsidR="001F25F9" w:rsidRPr="00B14E30" w:rsidRDefault="001F25F9" w:rsidP="00A26E56">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省内生源一直以来都是我院招生宣传的工作重点，省内生源来源情况的分析研究有助于我们对不同生源城市调整宣传策略，从而提高宣传效果与宣传效率。</w:t>
      </w:r>
    </w:p>
    <w:p w:rsidR="001F25F9" w:rsidRPr="00B14E30" w:rsidRDefault="001F25F9" w:rsidP="00A26E56">
      <w:pPr>
        <w:tabs>
          <w:tab w:val="left" w:pos="5790"/>
        </w:tabs>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（1）生源基本情况</w:t>
      </w:r>
    </w:p>
    <w:p w:rsidR="001F25F9" w:rsidRPr="00B14E30" w:rsidRDefault="001F25F9" w:rsidP="00A26E56">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2013年省内高考考生242045人，2014年省内高考考生237249人，2015年省内高考考生225191人，呈逐年递减态势。</w:t>
      </w:r>
    </w:p>
    <w:p w:rsidR="001F25F9" w:rsidRPr="00B14E30" w:rsidRDefault="001F25F9" w:rsidP="00A26E56">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lastRenderedPageBreak/>
        <w:t>2013年学院省内计划招生484人，省内实际录取考生484人；2014年学院省内计划招生675人，省内实际录取考生675人；2015年学院省内计划招生687人，省内实际录取考生687人；三年实际录取考生共1846人。</w:t>
      </w:r>
    </w:p>
    <w:p w:rsidR="001F25F9" w:rsidRPr="00B14E30" w:rsidRDefault="001F25F9" w:rsidP="00A26E56">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表2.1 2013-2015年省内各市生源人数统计表</w:t>
      </w:r>
    </w:p>
    <w:tbl>
      <w:tblPr>
        <w:tblW w:w="86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88"/>
        <w:gridCol w:w="1260"/>
        <w:gridCol w:w="1215"/>
        <w:gridCol w:w="1215"/>
        <w:gridCol w:w="1215"/>
        <w:gridCol w:w="1215"/>
        <w:gridCol w:w="1712"/>
      </w:tblGrid>
      <w:tr w:rsidR="00B14E30" w:rsidRPr="00B14E30" w:rsidTr="00CE6A93">
        <w:trPr>
          <w:trHeight w:val="369"/>
          <w:jc w:val="center"/>
        </w:trPr>
        <w:tc>
          <w:tcPr>
            <w:tcW w:w="788"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城市</w:t>
            </w:r>
          </w:p>
        </w:tc>
        <w:tc>
          <w:tcPr>
            <w:tcW w:w="1215" w:type="dxa"/>
            <w:vAlign w:val="center"/>
          </w:tcPr>
          <w:p w:rsidR="001F25F9" w:rsidRPr="00B14E30" w:rsidRDefault="004248A5"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20</w:t>
            </w:r>
            <w:r w:rsidR="001F25F9" w:rsidRPr="00B14E30">
              <w:rPr>
                <w:rFonts w:ascii="仿宋_GB2312" w:eastAsia="仿宋_GB2312" w:hAnsi="Times New Roman" w:cs="Times New Roman" w:hint="eastAsia"/>
                <w:b/>
                <w:color w:val="000000" w:themeColor="text1"/>
                <w:sz w:val="24"/>
                <w:szCs w:val="24"/>
              </w:rPr>
              <w:t>13年</w:t>
            </w:r>
          </w:p>
        </w:tc>
        <w:tc>
          <w:tcPr>
            <w:tcW w:w="1215" w:type="dxa"/>
            <w:shd w:val="clear" w:color="auto" w:fill="auto"/>
            <w:vAlign w:val="center"/>
          </w:tcPr>
          <w:p w:rsidR="001F25F9" w:rsidRPr="00B14E30" w:rsidRDefault="004248A5"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20</w:t>
            </w:r>
            <w:r w:rsidR="001F25F9" w:rsidRPr="00B14E30">
              <w:rPr>
                <w:rFonts w:ascii="仿宋_GB2312" w:eastAsia="仿宋_GB2312" w:hAnsi="Times New Roman" w:cs="Times New Roman" w:hint="eastAsia"/>
                <w:b/>
                <w:color w:val="000000" w:themeColor="text1"/>
                <w:sz w:val="24"/>
                <w:szCs w:val="24"/>
              </w:rPr>
              <w:t>14年</w:t>
            </w:r>
          </w:p>
        </w:tc>
        <w:tc>
          <w:tcPr>
            <w:tcW w:w="1215" w:type="dxa"/>
            <w:shd w:val="clear" w:color="auto" w:fill="auto"/>
            <w:vAlign w:val="center"/>
          </w:tcPr>
          <w:p w:rsidR="001F25F9" w:rsidRPr="00B14E30" w:rsidRDefault="004248A5"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20</w:t>
            </w:r>
            <w:r w:rsidR="001F25F9" w:rsidRPr="00B14E30">
              <w:rPr>
                <w:rFonts w:ascii="仿宋_GB2312" w:eastAsia="仿宋_GB2312" w:hAnsi="Times New Roman" w:cs="Times New Roman" w:hint="eastAsia"/>
                <w:b/>
                <w:color w:val="000000" w:themeColor="text1"/>
                <w:sz w:val="24"/>
                <w:szCs w:val="24"/>
              </w:rPr>
              <w:t>15年</w:t>
            </w:r>
          </w:p>
        </w:tc>
        <w:tc>
          <w:tcPr>
            <w:tcW w:w="121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合计</w:t>
            </w:r>
          </w:p>
        </w:tc>
        <w:tc>
          <w:tcPr>
            <w:tcW w:w="1712"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占生源百分比</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103</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100</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264</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14.30%</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45</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69</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78</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192</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10.40%</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37</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46</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95</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178</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9.64%</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41</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57</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46</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144</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7.80%</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47</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36</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137</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7.42%</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铁岭</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36</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58</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43</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135</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7.31%</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葫芦岛</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25</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47</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133</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7.20%</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鞍山</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25</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55</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31</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113</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6.12%</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锦州</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26</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39</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103</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5.58%</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32</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49</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101</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5.47%</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辽阳</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27</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24</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49</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100</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5.42%</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本溪</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33</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24</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35</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92</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4.98%</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丹东</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30</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42</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91</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4.93%</w:t>
            </w:r>
          </w:p>
        </w:tc>
      </w:tr>
      <w:tr w:rsidR="00B14E30" w:rsidRPr="00B14E30" w:rsidTr="00CE6A93">
        <w:trPr>
          <w:trHeight w:val="369"/>
          <w:jc w:val="center"/>
        </w:trPr>
        <w:tc>
          <w:tcPr>
            <w:tcW w:w="788"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260" w:type="dxa"/>
            <w:shd w:val="clear" w:color="auto" w:fill="auto"/>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盘锦</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30</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3.41%</w:t>
            </w:r>
          </w:p>
        </w:tc>
      </w:tr>
      <w:tr w:rsidR="00B14E30" w:rsidRPr="00B14E30" w:rsidTr="00CE6A93">
        <w:trPr>
          <w:trHeight w:val="369"/>
          <w:jc w:val="center"/>
        </w:trPr>
        <w:tc>
          <w:tcPr>
            <w:tcW w:w="2048" w:type="dxa"/>
            <w:gridSpan w:val="2"/>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总计</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484</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675</w:t>
            </w:r>
          </w:p>
        </w:tc>
        <w:tc>
          <w:tcPr>
            <w:tcW w:w="121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687</w:t>
            </w:r>
          </w:p>
        </w:tc>
        <w:tc>
          <w:tcPr>
            <w:tcW w:w="121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1846</w:t>
            </w:r>
          </w:p>
        </w:tc>
        <w:tc>
          <w:tcPr>
            <w:tcW w:w="1712"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100%</w:t>
            </w:r>
          </w:p>
        </w:tc>
      </w:tr>
    </w:tbl>
    <w:p w:rsidR="001F25F9" w:rsidRPr="00B14E30" w:rsidRDefault="001F25F9" w:rsidP="001F25F9">
      <w:pPr>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drawing>
          <wp:inline distT="0" distB="0" distL="0" distR="0">
            <wp:extent cx="5241925" cy="1945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925" cy="1945640"/>
                    </a:xfrm>
                    <a:prstGeom prst="rect">
                      <a:avLst/>
                    </a:prstGeom>
                    <a:noFill/>
                    <a:ln>
                      <a:noFill/>
                    </a:ln>
                  </pic:spPr>
                </pic:pic>
              </a:graphicData>
            </a:graphic>
          </wp:inline>
        </w:drawing>
      </w:r>
    </w:p>
    <w:p w:rsidR="001F25F9" w:rsidRPr="00B14E30" w:rsidRDefault="001F25F9" w:rsidP="001F25F9">
      <w:pPr>
        <w:widowControl/>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 xml:space="preserve">图2.7 </w:t>
      </w:r>
      <w:r w:rsidR="00732137" w:rsidRPr="00B14E30">
        <w:rPr>
          <w:rFonts w:ascii="仿宋_GB2312" w:eastAsia="仿宋_GB2312" w:hAnsi="Times New Roman" w:cs="Times New Roman" w:hint="eastAsia"/>
          <w:color w:val="000000" w:themeColor="text1"/>
          <w:sz w:val="32"/>
          <w:szCs w:val="32"/>
        </w:rPr>
        <w:t>历</w:t>
      </w:r>
      <w:r w:rsidRPr="00B14E30">
        <w:rPr>
          <w:rFonts w:ascii="仿宋_GB2312" w:eastAsia="仿宋_GB2312" w:hAnsi="Times New Roman" w:cs="Times New Roman" w:hint="eastAsia"/>
          <w:color w:val="000000" w:themeColor="text1"/>
          <w:sz w:val="32"/>
          <w:szCs w:val="32"/>
        </w:rPr>
        <w:t>年各市生源总数分布图（百分比）</w:t>
      </w:r>
    </w:p>
    <w:p w:rsidR="001F25F9" w:rsidRPr="00B14E30" w:rsidRDefault="001F25F9" w:rsidP="001F25F9">
      <w:pPr>
        <w:widowControl/>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4912360" cy="21691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2360" cy="2169160"/>
                    </a:xfrm>
                    <a:prstGeom prst="rect">
                      <a:avLst/>
                    </a:prstGeom>
                    <a:noFill/>
                    <a:ln>
                      <a:noFill/>
                    </a:ln>
                  </pic:spPr>
                </pic:pic>
              </a:graphicData>
            </a:graphic>
          </wp:inline>
        </w:drawing>
      </w:r>
    </w:p>
    <w:p w:rsidR="001F25F9" w:rsidRPr="00B14E30" w:rsidRDefault="001F25F9" w:rsidP="00D438C1">
      <w:pPr>
        <w:widowControl/>
        <w:spacing w:line="560" w:lineRule="exact"/>
        <w:jc w:val="center"/>
        <w:rPr>
          <w:rFonts w:ascii="宋体" w:eastAsia="宋体" w:hAnsi="宋体" w:cs="宋体"/>
          <w:color w:val="000000" w:themeColor="text1"/>
          <w:kern w:val="0"/>
          <w:sz w:val="24"/>
          <w:szCs w:val="24"/>
        </w:rPr>
      </w:pPr>
      <w:r w:rsidRPr="00B14E30">
        <w:rPr>
          <w:rFonts w:ascii="仿宋_GB2312" w:eastAsia="仿宋_GB2312" w:hAnsi="Times New Roman" w:cs="Times New Roman" w:hint="eastAsia"/>
          <w:color w:val="000000" w:themeColor="text1"/>
          <w:sz w:val="32"/>
          <w:szCs w:val="32"/>
        </w:rPr>
        <w:t>图2.8 历年各市生源统计图</w:t>
      </w:r>
    </w:p>
    <w:p w:rsidR="001F25F9" w:rsidRPr="00B14E30" w:rsidRDefault="001F25F9" w:rsidP="004248A5">
      <w:pPr>
        <w:widowControl/>
        <w:jc w:val="center"/>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drawing>
          <wp:inline distT="0" distB="0" distL="0" distR="0">
            <wp:extent cx="4654278" cy="2667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174" cy="2667513"/>
                    </a:xfrm>
                    <a:prstGeom prst="rect">
                      <a:avLst/>
                    </a:prstGeom>
                    <a:noFill/>
                    <a:ln>
                      <a:noFill/>
                    </a:ln>
                  </pic:spPr>
                </pic:pic>
              </a:graphicData>
            </a:graphic>
          </wp:inline>
        </w:drawing>
      </w:r>
    </w:p>
    <w:p w:rsidR="001F25F9" w:rsidRPr="00B14E30" w:rsidRDefault="001F25F9" w:rsidP="00D438C1">
      <w:pPr>
        <w:widowControl/>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图2.9 辽宁省行政区划图</w:t>
      </w:r>
    </w:p>
    <w:p w:rsidR="001F25F9" w:rsidRPr="00B14E30" w:rsidRDefault="001F25F9" w:rsidP="00D438C1">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根据表2.1，按照图2.7分析，辽西地区生源人数（锦州、阜新、朝阳、葫芦岛）占总生源人数34.88%，为我院重点生源区域，其中朝阳报考生源最多，占比达到14.30%；辽东地区生源人数（抚顺、本溪、丹东）占总生源人数17.33%，各市差距不大，较为均衡；辽南地区生源人数（大连、营口、盘锦）占总生源人数18.52%，营口、盘锦生源人数占比较少；辽中地区生</w:t>
      </w:r>
      <w:r w:rsidRPr="00B14E30">
        <w:rPr>
          <w:rFonts w:ascii="仿宋_GB2312" w:eastAsia="仿宋_GB2312" w:hAnsi="Times New Roman" w:cs="Times New Roman" w:hint="eastAsia"/>
          <w:color w:val="000000" w:themeColor="text1"/>
          <w:sz w:val="32"/>
          <w:szCs w:val="32"/>
        </w:rPr>
        <w:lastRenderedPageBreak/>
        <w:t>源人数（沈阳、鞍山、辽阳）占总生源人数21.94%，其中沈阳生源人数多，鞍山、辽阳较少；辽北地区（铁岭）生源人数占总生源人数7.31%。</w:t>
      </w:r>
    </w:p>
    <w:p w:rsidR="001F25F9" w:rsidRPr="00B14E30" w:rsidRDefault="001F25F9" w:rsidP="00D438C1">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仿宋" w:cs="Times New Roman" w:hint="eastAsia"/>
          <w:color w:val="000000" w:themeColor="text1"/>
          <w:sz w:val="32"/>
          <w:szCs w:val="32"/>
        </w:rPr>
        <w:t>2014年与2015年考生报到数量基本持平，由图2.8可见，大连、辽阳两地报考考生明显增多，这反应我院2015年在这些城市宣传工作到位。</w:t>
      </w:r>
    </w:p>
    <w:p w:rsidR="001F25F9" w:rsidRPr="00B14E30" w:rsidRDefault="001F25F9" w:rsidP="00D438C1">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通过上述图表分析，朝阳生源基数大，应该深度挖掘潜力；沈阳、大连作为省内一线城市生源充足，可以重点关注；葫芦岛、丹东招生态势良好，成逐年递增趋势；鞍山、抚顺、本溪、锦州、铁岭，增长态势趋于稳定，可加大宣传力度。</w:t>
      </w:r>
    </w:p>
    <w:p w:rsidR="001F25F9" w:rsidRPr="00B14E30" w:rsidRDefault="001F25F9" w:rsidP="00D438C1">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（2）生源高中来源情况</w:t>
      </w:r>
    </w:p>
    <w:p w:rsidR="001F25F9" w:rsidRPr="00B14E30" w:rsidRDefault="001F25F9" w:rsidP="00D438C1">
      <w:pPr>
        <w:spacing w:line="560" w:lineRule="exact"/>
        <w:jc w:val="center"/>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表2.2 生源重点高中来源统计表</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87"/>
        <w:gridCol w:w="4320"/>
        <w:gridCol w:w="900"/>
        <w:gridCol w:w="1800"/>
        <w:gridCol w:w="811"/>
      </w:tblGrid>
      <w:tr w:rsidR="00B14E30" w:rsidRPr="00B14E30" w:rsidTr="00CE6A93">
        <w:trPr>
          <w:trHeight w:val="369"/>
          <w:jc w:val="center"/>
        </w:trPr>
        <w:tc>
          <w:tcPr>
            <w:tcW w:w="787"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432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学校名称</w:t>
            </w:r>
          </w:p>
        </w:tc>
        <w:tc>
          <w:tcPr>
            <w:tcW w:w="90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人数</w:t>
            </w:r>
          </w:p>
        </w:tc>
        <w:tc>
          <w:tcPr>
            <w:tcW w:w="180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占生源百分比</w:t>
            </w:r>
          </w:p>
        </w:tc>
        <w:tc>
          <w:tcPr>
            <w:tcW w:w="811"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葫芦岛市第二高级中学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2.2752%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辽阳市灯塔市第一高级中学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29</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1.5710%</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朝阳市凌源市第一高级中学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1.5168%</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阜新市高级中学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26</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1.4085%</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本溪市本溪县高级中学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26</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1.4085%</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阜新市彰武县高级中学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1.3543%</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锦州市黑山县第一高级中学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1.1918%</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葫芦岛市兴城市第一高级中学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21</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1.1376%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阜新市阜蒙县蒙古高中</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21</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1.1376%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辽阳市辽阳县第一高级中学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1.0834%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朝阳市喀左县喀左蒙古族高中古塔分校</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1.0834%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1.0834%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本溪市第二高级中学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1.0293%</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lastRenderedPageBreak/>
              <w:t>15</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阜新市阜蒙县高级中学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朝阳市育英高考补习学校</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朝阳市凌源市实验中学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本溪市桓仁县第一中学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0.9751%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营口市盖州市第一高级中学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0.9209%</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21</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朝阳市喀左县喀左蒙古族高中卓南分校</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0.9209%</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22</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辽阳市辽阳石油化纤公司高级中学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0.8667%</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23</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抚顺市抚顺德才高级中学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0.8667%</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24</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朝阳市凌源市第二高级中学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0.8667%</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25</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营口市实验高级中学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0.8126%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26</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铁岭市昌图县高级中学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0.8126%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27</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沈阳市辽中县第二高级中学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0.8126%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28</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葫芦岛市建昌县高级中学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0.8126%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29</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本溪市第一中学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0.8126%</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30</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营口市开发区第一高级中学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0.7584%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31</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阜新市阜蒙县第二高级中学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0.7584%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32</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抚顺市抚顺县高级中学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0.7584%</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33</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铁岭市清河区高级中学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34</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沈阳市法库县高级中学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35</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葫芦岛市绥中县第一高级中学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36</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朝阳市建平县实验中学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37</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抚顺市二中北校区（抚顺凤翔实验中学)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抚顺市第十二中学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39</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丹东市东港市第一中学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40</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鞍山市第三中学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0.7042%</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41</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铁岭市调兵山市第二高级中学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42</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沈阳市新民市第一高级中学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43</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盘锦市盘山县高级中学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44</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锦州市义县高级中学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45</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抚顺市第十中学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46</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抚顺市第一中学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47</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大连市第二十五中学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0.6501%</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lastRenderedPageBreak/>
              <w:t>48</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沈阳市新民市高级中学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0.5959%</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49</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朝阳市北票市高级中学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0.5959%</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50</w:t>
            </w:r>
          </w:p>
        </w:tc>
        <w:tc>
          <w:tcPr>
            <w:tcW w:w="43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铁岭市铁岭县高级中学</w:t>
            </w:r>
          </w:p>
        </w:tc>
        <w:tc>
          <w:tcPr>
            <w:tcW w:w="9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180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0.5417%</w:t>
            </w:r>
          </w:p>
        </w:tc>
        <w:tc>
          <w:tcPr>
            <w:tcW w:w="81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bl>
    <w:p w:rsidR="001F25F9" w:rsidRPr="00B14E30" w:rsidRDefault="001F25F9" w:rsidP="00D438C1">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表2.2为我院3年以来重点生源地高中，从所在区域类别来看，县级市高中33所，占比达到66%；从学校归属地来看，朝阳市的学校最多，共10所；营口市4所；大连市、鞍山市学校最少，均为1所；从报考人数来看，葫芦岛第二高级中学最多，达42人，占省内生源2.2752%。</w:t>
      </w:r>
    </w:p>
    <w:p w:rsidR="001F25F9" w:rsidRPr="00B14E30" w:rsidRDefault="001F25F9" w:rsidP="00D438C1">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通过对表2.1、2.2分析，辽阳市近3年共录取考生100人，其中灯塔市第一高级中学、辽阳县第一高级中学、辽阳石油化纤公司高级中学录取考生共计65人，占辽阳市录取考生总数的65%，辽阳地区生源主要集中在这三所学校。本溪市近3年共录取考生92人，本溪县高级中学、本溪市第二高级中学、桓仁县第一中学、本溪市第一中学录取考生共计78人，占本溪市录取考生总数的84.78%。重点关注这些生源来源高中，有利于在招生宣传中更高效，更有针对性。</w:t>
      </w:r>
    </w:p>
    <w:p w:rsidR="001F25F9" w:rsidRPr="00B14E30" w:rsidRDefault="001F25F9" w:rsidP="00D438C1">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在表2.2中，沈阳市有4所高中，大连市仅有1所高中，说明我院在沈阳、大连等生源基数较大的城市生源高中较分散。</w:t>
      </w:r>
    </w:p>
    <w:p w:rsidR="001F25F9" w:rsidRPr="00B14E30" w:rsidRDefault="001F25F9" w:rsidP="00D438C1">
      <w:pPr>
        <w:tabs>
          <w:tab w:val="left" w:pos="5790"/>
        </w:tabs>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（3）生源城市来源情况</w:t>
      </w:r>
    </w:p>
    <w:p w:rsidR="001F25F9" w:rsidRPr="00B14E30" w:rsidRDefault="001F25F9" w:rsidP="00D438C1">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在生源城市来源分析中引入中考分数类比这一概念，将重点生源地高中中考分数为参考标准，进行比对，找出市内同类学校作为城市生源地分析参考的依据。</w:t>
      </w:r>
    </w:p>
    <w:p w:rsidR="001F25F9" w:rsidRPr="00B14E30" w:rsidRDefault="003E5B9B" w:rsidP="002A2DD2">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color w:val="000000" w:themeColor="text1"/>
          <w:sz w:val="32"/>
          <w:szCs w:val="32"/>
        </w:rPr>
        <w:fldChar w:fldCharType="begin"/>
      </w:r>
      <w:r w:rsidR="001F25F9" w:rsidRPr="00B14E30">
        <w:rPr>
          <w:rFonts w:ascii="仿宋_GB2312" w:eastAsia="仿宋_GB2312" w:hAnsi="Times New Roman" w:cs="Times New Roman"/>
          <w:color w:val="000000" w:themeColor="text1"/>
          <w:sz w:val="32"/>
          <w:szCs w:val="32"/>
        </w:rPr>
        <w:instrText xml:space="preserve"> </w:instrText>
      </w:r>
      <w:r w:rsidR="001F25F9" w:rsidRPr="00B14E30">
        <w:rPr>
          <w:rFonts w:ascii="仿宋_GB2312" w:eastAsia="仿宋_GB2312" w:hAnsi="Times New Roman" w:cs="Times New Roman" w:hint="eastAsia"/>
          <w:color w:val="000000" w:themeColor="text1"/>
          <w:sz w:val="32"/>
          <w:szCs w:val="32"/>
        </w:rPr>
        <w:instrText>= 1 \* GB3</w:instrText>
      </w:r>
      <w:r w:rsidR="001F25F9" w:rsidRPr="00B14E30">
        <w:rPr>
          <w:rFonts w:ascii="仿宋_GB2312" w:eastAsia="仿宋_GB2312" w:hAnsi="Times New Roman" w:cs="Times New Roman"/>
          <w:color w:val="000000" w:themeColor="text1"/>
          <w:sz w:val="32"/>
          <w:szCs w:val="32"/>
        </w:rPr>
        <w:instrText xml:space="preserve"> </w:instrText>
      </w:r>
      <w:r w:rsidRPr="00B14E30">
        <w:rPr>
          <w:rFonts w:ascii="仿宋_GB2312" w:eastAsia="仿宋_GB2312" w:hAnsi="Times New Roman" w:cs="Times New Roman"/>
          <w:color w:val="000000" w:themeColor="text1"/>
          <w:sz w:val="32"/>
          <w:szCs w:val="32"/>
        </w:rPr>
        <w:fldChar w:fldCharType="separate"/>
      </w:r>
      <w:r w:rsidR="001F25F9" w:rsidRPr="00B14E30">
        <w:rPr>
          <w:rFonts w:ascii="仿宋_GB2312" w:eastAsia="仿宋_GB2312" w:hAnsi="Times New Roman" w:cs="Times New Roman" w:hint="eastAsia"/>
          <w:noProof/>
          <w:color w:val="000000" w:themeColor="text1"/>
          <w:sz w:val="32"/>
          <w:szCs w:val="32"/>
        </w:rPr>
        <w:t>①</w:t>
      </w:r>
      <w:r w:rsidRPr="00B14E30">
        <w:rPr>
          <w:rFonts w:ascii="仿宋_GB2312" w:eastAsia="仿宋_GB2312" w:hAnsi="Times New Roman" w:cs="Times New Roman"/>
          <w:color w:val="000000" w:themeColor="text1"/>
          <w:sz w:val="32"/>
          <w:szCs w:val="32"/>
        </w:rPr>
        <w:fldChar w:fldCharType="end"/>
      </w:r>
      <w:r w:rsidR="001F25F9" w:rsidRPr="00B14E30">
        <w:rPr>
          <w:rFonts w:ascii="仿宋_GB2312" w:eastAsia="仿宋_GB2312" w:hAnsi="Times New Roman" w:cs="Times New Roman" w:hint="eastAsia"/>
          <w:color w:val="000000" w:themeColor="text1"/>
          <w:sz w:val="32"/>
          <w:szCs w:val="32"/>
        </w:rPr>
        <w:t>沈阳市</w:t>
      </w:r>
    </w:p>
    <w:p w:rsidR="001F25F9" w:rsidRPr="00B14E30" w:rsidRDefault="001F25F9" w:rsidP="00D438C1">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lastRenderedPageBreak/>
        <w:t>表2.3 2015年省级示范性高中录取成绩一览表</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66"/>
        <w:gridCol w:w="5435"/>
        <w:gridCol w:w="1185"/>
        <w:gridCol w:w="1132"/>
      </w:tblGrid>
      <w:tr w:rsidR="00B14E30" w:rsidRPr="00B14E30" w:rsidTr="00CE6A93">
        <w:trPr>
          <w:trHeight w:val="369"/>
          <w:jc w:val="center"/>
        </w:trPr>
        <w:tc>
          <w:tcPr>
            <w:tcW w:w="866"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543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省级重点高中学校 （含同批次录取学校）</w:t>
            </w:r>
          </w:p>
        </w:tc>
        <w:tc>
          <w:tcPr>
            <w:tcW w:w="118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统招生</w:t>
            </w:r>
          </w:p>
        </w:tc>
        <w:tc>
          <w:tcPr>
            <w:tcW w:w="1132"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辽宁省实验中学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719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东北育才学校</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715</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沈阳市第二中学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714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沈阳市第一中学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709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沈阳市第三十一中学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707</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沈阳市第四中学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706</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沈阳市第二十七中学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704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沈阳市同泽高级中学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689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辽中县第一高级中学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689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新民市高级中学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676</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法库县高级中学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664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康平县高级中学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651</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沈阳市第五十一中学(沈抚校区)</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640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沈阳市第二十八中学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沈阳市朝鲜族第一中学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633</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沈阳市同泽高级中学女中部</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沈阳市外国语学校</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629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沈阳市第三十八中学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620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19</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沈阳市第十五中学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617</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20</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沈阳市第二十四中学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613</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21</w:t>
            </w:r>
          </w:p>
        </w:tc>
        <w:tc>
          <w:tcPr>
            <w:tcW w:w="5435"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沈阳市第三十五中学</w:t>
            </w:r>
          </w:p>
        </w:tc>
        <w:tc>
          <w:tcPr>
            <w:tcW w:w="1185"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609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543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省级示范性高中（民办）</w:t>
            </w:r>
          </w:p>
        </w:tc>
        <w:tc>
          <w:tcPr>
            <w:tcW w:w="118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统招生</w:t>
            </w:r>
          </w:p>
        </w:tc>
        <w:tc>
          <w:tcPr>
            <w:tcW w:w="1132"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东北育才外国语学校</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沈阳师范大学附属学校</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684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沈阳市洪庆中学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560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沈阳市广全中学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679</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沈阳市翔宇中学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645</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543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市级重点高中学校 （含同批次录取学校）</w:t>
            </w:r>
          </w:p>
        </w:tc>
        <w:tc>
          <w:tcPr>
            <w:tcW w:w="1185"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统招生</w:t>
            </w:r>
          </w:p>
        </w:tc>
        <w:tc>
          <w:tcPr>
            <w:tcW w:w="1132"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沈阳市第一二四中学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578</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沈阳市志成中学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660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lastRenderedPageBreak/>
              <w:t>3</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 xml:space="preserve">沈阳市第二十一中学 </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587</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沈阳市拔萃私立中学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581</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康平县第一中学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法库县第二高级中学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380</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新民市第一高级中学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528</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866"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5435"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新民市第二高级中学</w:t>
            </w:r>
          </w:p>
        </w:tc>
        <w:tc>
          <w:tcPr>
            <w:tcW w:w="1185"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414</w:t>
            </w:r>
          </w:p>
        </w:tc>
        <w:tc>
          <w:tcPr>
            <w:tcW w:w="1132" w:type="dxa"/>
            <w:shd w:val="clear" w:color="auto" w:fill="auto"/>
            <w:noWrap/>
            <w:vAlign w:val="center"/>
          </w:tcPr>
          <w:p w:rsidR="001F25F9" w:rsidRPr="00B14E30" w:rsidRDefault="001F25F9" w:rsidP="001F25F9">
            <w:pPr>
              <w:rPr>
                <w:rFonts w:ascii="仿宋_GB2312" w:eastAsia="仿宋_GB2312" w:hAnsi="Times New Roman" w:cs="Times New Roman"/>
                <w:color w:val="000000" w:themeColor="text1"/>
                <w:sz w:val="24"/>
                <w:szCs w:val="24"/>
              </w:rPr>
            </w:pPr>
          </w:p>
        </w:tc>
      </w:tr>
    </w:tbl>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color w:val="000000" w:themeColor="text1"/>
          <w:sz w:val="32"/>
          <w:szCs w:val="32"/>
        </w:rPr>
        <w:t>沈阳市学校</w:t>
      </w:r>
      <w:r w:rsidRPr="00B14E30">
        <w:rPr>
          <w:rFonts w:ascii="仿宋_GB2312" w:eastAsia="仿宋_GB2312" w:hAnsi="仿宋" w:cs="Times New Roman" w:hint="eastAsia"/>
          <w:color w:val="000000" w:themeColor="text1"/>
          <w:sz w:val="32"/>
          <w:szCs w:val="32"/>
        </w:rPr>
        <w:t>中东北育才学校、沈阳市第二十中学、沈阳市第二中学、沈阳市第一中学、辽宁省实验中学、沈阳市第一二中学、沈阳市第四中学、沈阳市第三十一中学，这八所学校为省级示范性高中一本上线率90%左右，暂不作为我院招生宣传重点对象。</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由表2.2可知，我院生源学校主要集中在县级市高中，如：辽中县第二高级中学、法库县高中、新民市第一高级中学、新民市高级中学，四所学校中考分数区间为610-650分。由表2.3可知，分数在这一区间的学校有沈阳市外国语学校、沈阳市同泽高级中学、沈阳市第五十一中学(沈抚校区)、沈阳市第三十八中学、沈阳市第二十八中学、沈阳市第三十五中学、沈阳市二十一中学、沈阳市康平县高级中学、沈阳市志成高中、沈阳市拔萃私立中学等十所学校作为准重点生源高中地进行宣传。</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由性别与语种限制等因素，沈阳市同泽高级中学女中部与沈阳市朝鲜族第一中学可暂不列为招生宣传重点高中。</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省级示范性高中（民办）、市重点的学校统招分数差别较大，生源质量参差不齐，升学率相对较低，招生宣传时可有选择性的开展工作；如沈阳市广全中学与沈阳市翔宇中学这两所学校，在我院生源较多，也可重点进行宣传。</w:t>
      </w:r>
    </w:p>
    <w:p w:rsidR="001F25F9" w:rsidRPr="00B14E30" w:rsidRDefault="003E5B9B"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color w:val="000000" w:themeColor="text1"/>
          <w:sz w:val="32"/>
          <w:szCs w:val="32"/>
        </w:rPr>
        <w:lastRenderedPageBreak/>
        <w:fldChar w:fldCharType="begin"/>
      </w:r>
      <w:r w:rsidR="001F25F9" w:rsidRPr="00B14E30">
        <w:rPr>
          <w:rFonts w:ascii="仿宋_GB2312" w:eastAsia="仿宋_GB2312" w:hAnsi="Times New Roman" w:cs="Times New Roman"/>
          <w:color w:val="000000" w:themeColor="text1"/>
          <w:sz w:val="32"/>
          <w:szCs w:val="32"/>
        </w:rPr>
        <w:instrText xml:space="preserve"> </w:instrText>
      </w:r>
      <w:r w:rsidR="001F25F9" w:rsidRPr="00B14E30">
        <w:rPr>
          <w:rFonts w:ascii="仿宋_GB2312" w:eastAsia="仿宋_GB2312" w:hAnsi="Times New Roman" w:cs="Times New Roman" w:hint="eastAsia"/>
          <w:color w:val="000000" w:themeColor="text1"/>
          <w:sz w:val="32"/>
          <w:szCs w:val="32"/>
        </w:rPr>
        <w:instrText>= 2 \* GB3</w:instrText>
      </w:r>
      <w:r w:rsidR="001F25F9" w:rsidRPr="00B14E30">
        <w:rPr>
          <w:rFonts w:ascii="仿宋_GB2312" w:eastAsia="仿宋_GB2312" w:hAnsi="Times New Roman" w:cs="Times New Roman"/>
          <w:color w:val="000000" w:themeColor="text1"/>
          <w:sz w:val="32"/>
          <w:szCs w:val="32"/>
        </w:rPr>
        <w:instrText xml:space="preserve"> </w:instrText>
      </w:r>
      <w:r w:rsidRPr="00B14E30">
        <w:rPr>
          <w:rFonts w:ascii="仿宋_GB2312" w:eastAsia="仿宋_GB2312" w:hAnsi="Times New Roman" w:cs="Times New Roman"/>
          <w:color w:val="000000" w:themeColor="text1"/>
          <w:sz w:val="32"/>
          <w:szCs w:val="32"/>
        </w:rPr>
        <w:fldChar w:fldCharType="separate"/>
      </w:r>
      <w:r w:rsidR="001F25F9" w:rsidRPr="00B14E30">
        <w:rPr>
          <w:rFonts w:ascii="仿宋_GB2312" w:eastAsia="仿宋_GB2312" w:hAnsi="Times New Roman" w:cs="Times New Roman" w:hint="eastAsia"/>
          <w:noProof/>
          <w:color w:val="000000" w:themeColor="text1"/>
          <w:sz w:val="32"/>
          <w:szCs w:val="32"/>
        </w:rPr>
        <w:t>②</w:t>
      </w:r>
      <w:r w:rsidRPr="00B14E30">
        <w:rPr>
          <w:rFonts w:ascii="仿宋_GB2312" w:eastAsia="仿宋_GB2312" w:hAnsi="Times New Roman" w:cs="Times New Roman"/>
          <w:color w:val="000000" w:themeColor="text1"/>
          <w:sz w:val="32"/>
          <w:szCs w:val="32"/>
        </w:rPr>
        <w:fldChar w:fldCharType="end"/>
      </w:r>
      <w:r w:rsidR="001F25F9" w:rsidRPr="00B14E30">
        <w:rPr>
          <w:rFonts w:ascii="仿宋_GB2312" w:eastAsia="仿宋_GB2312" w:hAnsi="Times New Roman" w:cs="Times New Roman" w:hint="eastAsia"/>
          <w:color w:val="000000" w:themeColor="text1"/>
          <w:sz w:val="32"/>
          <w:szCs w:val="32"/>
        </w:rPr>
        <w:t>大连市</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表2.4 省级示范性高中学校录取成绩一览表</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37"/>
        <w:gridCol w:w="4430"/>
        <w:gridCol w:w="1620"/>
        <w:gridCol w:w="1531"/>
      </w:tblGrid>
      <w:tr w:rsidR="00B14E30" w:rsidRPr="00B14E30" w:rsidTr="00CE6A93">
        <w:trPr>
          <w:trHeight w:val="369"/>
          <w:jc w:val="center"/>
        </w:trPr>
        <w:tc>
          <w:tcPr>
            <w:tcW w:w="1037"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443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省示范性高中</w:t>
            </w:r>
          </w:p>
        </w:tc>
        <w:tc>
          <w:tcPr>
            <w:tcW w:w="162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统招生</w:t>
            </w:r>
          </w:p>
        </w:tc>
        <w:tc>
          <w:tcPr>
            <w:tcW w:w="1531"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大连市第一中学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624.5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大连市第八中学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637</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大连市第十一中学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595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大连市第十二中学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612</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大连市红旗高中</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598.5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大连市第二十中学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610.5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大连市第二十三中学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619</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大连市第二十四中学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650.5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大连理工大学附属中学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612</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大连市第三十六中</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606.5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辽宁师范大学附属中学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629.5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大连育明高级中学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645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443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一般高中</w:t>
            </w:r>
          </w:p>
        </w:tc>
        <w:tc>
          <w:tcPr>
            <w:tcW w:w="162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统招生</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559</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大连市第三中学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576.5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大连市第五中学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565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大连市第十三中学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587</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大连市第十六中学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573.5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大连市第二十五中学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560.5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大连市第四十四中学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549.5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大连市铁路中学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552.5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大连市鉴开中学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554.5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大连市经贸高级中学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541.5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r w:rsidR="00B14E30" w:rsidRPr="00B14E30" w:rsidTr="00CE6A93">
        <w:trPr>
          <w:trHeight w:val="369"/>
          <w:jc w:val="center"/>
        </w:trPr>
        <w:tc>
          <w:tcPr>
            <w:tcW w:w="103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4430" w:type="dxa"/>
            <w:vAlign w:val="center"/>
          </w:tcPr>
          <w:p w:rsidR="001F25F9" w:rsidRPr="00B14E30" w:rsidRDefault="001F25F9" w:rsidP="001F25F9">
            <w:pPr>
              <w:spacing w:line="330" w:lineRule="atLeast"/>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大连市信息高级中学</w:t>
            </w:r>
          </w:p>
        </w:tc>
        <w:tc>
          <w:tcPr>
            <w:tcW w:w="162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542.5</w:t>
            </w:r>
          </w:p>
        </w:tc>
        <w:tc>
          <w:tcPr>
            <w:tcW w:w="153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Cs w:val="24"/>
              </w:rPr>
            </w:pPr>
          </w:p>
        </w:tc>
      </w:tr>
    </w:tbl>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大连市重点高中中二十四中、育明高中、大连八中、辽师附中、大连一中、理工附中和二十三中为一类高中，历年高考一本录取率较高，暂没有投入宣传的必要。</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lastRenderedPageBreak/>
        <w:t>依据表2.2，作为大连市仅有的一所生源地重点高中，可将25中中考录取分数（560.5分）作为参考标准，与大连市内同类高中进行比对，大连十五中、二中、五中、四十四中、铁路高中、鉴开高中等学校可进行重点宣传。大连县级市中学中，普兰店一高中的本科过线率为50%，瓦房店高中本科过线率为70%，瓦房店新世纪高中现有高三学生800人，本科过线率达到70%，二中、三十八中和新建高中，以上六所高中均可列入重点生源高中进行侧重宣传。</w:t>
      </w:r>
    </w:p>
    <w:p w:rsidR="001F25F9" w:rsidRPr="00B14E30" w:rsidRDefault="003E5B9B"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fldChar w:fldCharType="begin"/>
      </w:r>
      <w:r w:rsidR="001F25F9" w:rsidRPr="00B14E30">
        <w:rPr>
          <w:rFonts w:ascii="仿宋_GB2312" w:eastAsia="仿宋_GB2312" w:hAnsi="仿宋" w:cs="Times New Roman" w:hint="eastAsia"/>
          <w:color w:val="000000" w:themeColor="text1"/>
          <w:sz w:val="32"/>
          <w:szCs w:val="32"/>
        </w:rPr>
        <w:instrText xml:space="preserve"> = 3 \* GB3 </w:instrText>
      </w:r>
      <w:r w:rsidRPr="00B14E30">
        <w:rPr>
          <w:rFonts w:ascii="仿宋_GB2312" w:eastAsia="仿宋_GB2312" w:hAnsi="仿宋" w:cs="Times New Roman" w:hint="eastAsia"/>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③</w:t>
      </w:r>
      <w:r w:rsidRPr="00B14E30">
        <w:rPr>
          <w:rFonts w:ascii="仿宋_GB2312" w:eastAsia="仿宋_GB2312" w:hAnsi="仿宋" w:cs="Times New Roman" w:hint="eastAsia"/>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朝阳市</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朝阳市地处辽西内陆，生源基数大、学校分布广、高中资源丰富。在我院重点生源学校中，朝阳市一高中和二高中，近3年高三学生人数均在1200人以上，本科升学率不超过40%。朝阳育英补习学校作为市内唯一一所补习学校，生均规模1000人，本科升学率约为30%。凌源市三所生源学校中，一高和实验升学率略高于二高，二高的本科升学率基本在30%。朝阳喀左蒙古族高中卓南分校、喀左蒙古族高中古塔分校、喀左县蒙古族高中城西分校，这三所学校升学率均达到30%，上述高中可进行侧重宣传。</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朝阳市经济不发达，考生基数大，且无本科高等院校，依据往年走访经验，当地考生对我院认同度较高，报考热情高涨，可以作为我院稳固的生源来源地，加大宣传力度。</w:t>
      </w:r>
    </w:p>
    <w:p w:rsidR="001F25F9" w:rsidRPr="00B14E30" w:rsidRDefault="003E5B9B"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fldChar w:fldCharType="begin"/>
      </w:r>
      <w:r w:rsidR="001F25F9" w:rsidRPr="00B14E30">
        <w:rPr>
          <w:rFonts w:ascii="仿宋_GB2312" w:eastAsia="仿宋_GB2312" w:hAnsi="仿宋" w:cs="Times New Roman" w:hint="eastAsia"/>
          <w:color w:val="000000" w:themeColor="text1"/>
          <w:sz w:val="32"/>
          <w:szCs w:val="32"/>
        </w:rPr>
        <w:instrText xml:space="preserve"> = 4 \* GB3 </w:instrText>
      </w:r>
      <w:r w:rsidRPr="00B14E30">
        <w:rPr>
          <w:rFonts w:ascii="仿宋_GB2312" w:eastAsia="仿宋_GB2312" w:hAnsi="仿宋" w:cs="Times New Roman" w:hint="eastAsia"/>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④</w:t>
      </w:r>
      <w:r w:rsidRPr="00B14E30">
        <w:rPr>
          <w:rFonts w:ascii="仿宋_GB2312" w:eastAsia="仿宋_GB2312" w:hAnsi="仿宋" w:cs="Times New Roman" w:hint="eastAsia"/>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本溪市</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lastRenderedPageBreak/>
        <w:t>我院本溪市生源高中为本溪县高级中学、本溪市第二高级中学、桓仁县第一中学、本溪市第一中学，其中本溪第二高中是一所考取二本院校的学生居多的高中，本溪桓仁县一高中每年的高三学生在800-1000人，本科过线率基本上能到80%，且以二本为主，可将上述高中作为宣传重点。</w:t>
      </w:r>
    </w:p>
    <w:p w:rsidR="001F25F9" w:rsidRPr="00B14E30" w:rsidRDefault="003E5B9B"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fldChar w:fldCharType="begin"/>
      </w:r>
      <w:r w:rsidR="001F25F9" w:rsidRPr="00B14E30">
        <w:rPr>
          <w:rFonts w:ascii="仿宋_GB2312" w:eastAsia="仿宋_GB2312" w:hAnsi="仿宋" w:cs="Times New Roman" w:hint="eastAsia"/>
          <w:color w:val="000000" w:themeColor="text1"/>
          <w:sz w:val="32"/>
          <w:szCs w:val="32"/>
        </w:rPr>
        <w:instrText xml:space="preserve"> = 5 \* GB3 </w:instrText>
      </w:r>
      <w:r w:rsidRPr="00B14E30">
        <w:rPr>
          <w:rFonts w:ascii="仿宋_GB2312" w:eastAsia="仿宋_GB2312" w:hAnsi="仿宋" w:cs="Times New Roman" w:hint="eastAsia"/>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⑤</w:t>
      </w:r>
      <w:r w:rsidRPr="00B14E30">
        <w:rPr>
          <w:rFonts w:ascii="仿宋_GB2312" w:eastAsia="仿宋_GB2312" w:hAnsi="仿宋" w:cs="Times New Roman" w:hint="eastAsia"/>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阜新市</w:t>
      </w:r>
    </w:p>
    <w:p w:rsidR="001F25F9" w:rsidRPr="00B14E30" w:rsidRDefault="001F25F9"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阜新市高级中学、实验中学和阜新海州高中三所高中作为我院重点生源学校，可以进行重点宣传。阜新市高级中学每届考生均达到1600人。实验高中和海州高中的升学率略低于阜新市高级中学。其中海州高中每届学生保持在1500人左右，二本升学率保持在20%。阜新市县级学校中，彰武县高级中学、阜蒙县蒙古高中、阜蒙县高级中学、阜蒙县第二高级中学均是我院重点生源地。</w:t>
      </w:r>
    </w:p>
    <w:p w:rsidR="001F25F9" w:rsidRPr="00B14E30" w:rsidRDefault="003E5B9B"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fldChar w:fldCharType="begin"/>
      </w:r>
      <w:r w:rsidR="001F25F9" w:rsidRPr="00B14E30">
        <w:rPr>
          <w:rFonts w:ascii="仿宋_GB2312" w:eastAsia="仿宋_GB2312" w:hAnsi="仿宋" w:cs="Times New Roman" w:hint="eastAsia"/>
          <w:color w:val="000000" w:themeColor="text1"/>
          <w:sz w:val="32"/>
          <w:szCs w:val="32"/>
        </w:rPr>
        <w:instrText xml:space="preserve"> = 6 \* GB3 </w:instrText>
      </w:r>
      <w:r w:rsidRPr="00B14E30">
        <w:rPr>
          <w:rFonts w:ascii="仿宋_GB2312" w:eastAsia="仿宋_GB2312" w:hAnsi="仿宋" w:cs="Times New Roman" w:hint="eastAsia"/>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⑥</w:t>
      </w:r>
      <w:r w:rsidRPr="00B14E30">
        <w:rPr>
          <w:rFonts w:ascii="仿宋_GB2312" w:eastAsia="仿宋_GB2312" w:hAnsi="仿宋" w:cs="Times New Roman" w:hint="eastAsia"/>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丹东市</w:t>
      </w:r>
    </w:p>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2015年丹东市高中毕业生共计12392名，宽甸生源1665人，东港生源</w:t>
      </w:r>
      <w:r w:rsidRPr="00B14E30">
        <w:rPr>
          <w:rFonts w:ascii="仿宋_GB2312" w:eastAsia="仿宋_GB2312" w:hAnsi="Times New Roman" w:cs="Times New Roman"/>
          <w:color w:val="000000" w:themeColor="text1"/>
          <w:sz w:val="32"/>
          <w:szCs w:val="32"/>
        </w:rPr>
        <w:t>3508人</w:t>
      </w:r>
      <w:r w:rsidRPr="00B14E30">
        <w:rPr>
          <w:rFonts w:ascii="仿宋_GB2312" w:eastAsia="仿宋_GB2312" w:hAnsi="Times New Roman" w:cs="Times New Roman" w:hint="eastAsia"/>
          <w:color w:val="000000" w:themeColor="text1"/>
          <w:sz w:val="32"/>
          <w:szCs w:val="32"/>
        </w:rPr>
        <w:t>，丹东市内生源</w:t>
      </w:r>
      <w:r w:rsidRPr="00B14E30">
        <w:rPr>
          <w:rFonts w:ascii="仿宋_GB2312" w:eastAsia="仿宋_GB2312" w:hAnsi="Times New Roman" w:cs="Times New Roman"/>
          <w:color w:val="000000" w:themeColor="text1"/>
          <w:sz w:val="32"/>
          <w:szCs w:val="32"/>
        </w:rPr>
        <w:t>3028人</w:t>
      </w:r>
      <w:r w:rsidRPr="00B14E30">
        <w:rPr>
          <w:rFonts w:ascii="仿宋_GB2312" w:eastAsia="仿宋_GB2312" w:hAnsi="Times New Roman" w:cs="Times New Roman" w:hint="eastAsia"/>
          <w:color w:val="000000" w:themeColor="text1"/>
          <w:sz w:val="32"/>
          <w:szCs w:val="32"/>
        </w:rPr>
        <w:t>，凤城生源</w:t>
      </w:r>
      <w:r w:rsidRPr="00B14E30">
        <w:rPr>
          <w:rFonts w:ascii="仿宋_GB2312" w:eastAsia="仿宋_GB2312" w:hAnsi="Times New Roman" w:cs="Times New Roman"/>
          <w:color w:val="000000" w:themeColor="text1"/>
          <w:sz w:val="32"/>
          <w:szCs w:val="32"/>
        </w:rPr>
        <w:t xml:space="preserve"> 2930人</w:t>
      </w:r>
      <w:r w:rsidRPr="00B14E30">
        <w:rPr>
          <w:rFonts w:ascii="仿宋_GB2312" w:eastAsia="仿宋_GB2312" w:hAnsi="Times New Roman" w:cs="Times New Roman" w:hint="eastAsia"/>
          <w:color w:val="000000" w:themeColor="text1"/>
          <w:sz w:val="32"/>
          <w:szCs w:val="32"/>
        </w:rPr>
        <w:t>。</w:t>
      </w:r>
    </w:p>
    <w:p w:rsidR="001F25F9" w:rsidRPr="00B14E30" w:rsidRDefault="001F25F9" w:rsidP="001F25F9">
      <w:pPr>
        <w:spacing w:line="560" w:lineRule="exact"/>
        <w:jc w:val="center"/>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表2.5 2015年</w:t>
      </w:r>
      <w:r w:rsidRPr="00B14E30">
        <w:rPr>
          <w:rFonts w:ascii="仿宋_GB2312" w:eastAsia="仿宋_GB2312" w:hAnsi="Times New Roman" w:cs="Times New Roman"/>
          <w:color w:val="000000" w:themeColor="text1"/>
          <w:sz w:val="32"/>
          <w:szCs w:val="32"/>
        </w:rPr>
        <w:t>高考丹东市一本上线人数统计</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87"/>
        <w:gridCol w:w="2520"/>
        <w:gridCol w:w="1440"/>
        <w:gridCol w:w="1440"/>
        <w:gridCol w:w="1476"/>
        <w:gridCol w:w="955"/>
      </w:tblGrid>
      <w:tr w:rsidR="00B14E30" w:rsidRPr="00B14E30" w:rsidTr="00CE6A93">
        <w:trPr>
          <w:trHeight w:val="369"/>
          <w:jc w:val="center"/>
        </w:trPr>
        <w:tc>
          <w:tcPr>
            <w:tcW w:w="787"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252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学校名称</w:t>
            </w:r>
          </w:p>
        </w:tc>
        <w:tc>
          <w:tcPr>
            <w:tcW w:w="144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一本人数</w:t>
            </w:r>
          </w:p>
        </w:tc>
        <w:tc>
          <w:tcPr>
            <w:tcW w:w="1440"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应届毕业生</w:t>
            </w:r>
          </w:p>
        </w:tc>
        <w:tc>
          <w:tcPr>
            <w:tcW w:w="1476" w:type="dxa"/>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一本过线率</w:t>
            </w:r>
          </w:p>
        </w:tc>
        <w:tc>
          <w:tcPr>
            <w:tcW w:w="955"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丹东二中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907</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1052</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86.21%</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东港二中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568</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1235</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45.99%</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凤城一中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422</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1060</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39.81%</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宽甸一中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183</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580</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31.55%</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重点</w:t>
            </w: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丹东四中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175</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749</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23.36%</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东港一中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163</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1243</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13.11%</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丹东一中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130</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766</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16.97%</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lastRenderedPageBreak/>
              <w:t>8</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东港三中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85</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1030</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8.25%</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宽甸二中</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80</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1085</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7.37%</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2520" w:type="dxa"/>
            <w:vAlign w:val="center"/>
          </w:tcPr>
          <w:p w:rsidR="001F25F9" w:rsidRPr="00B14E30" w:rsidRDefault="003E5B9B" w:rsidP="001F25F9">
            <w:pPr>
              <w:rPr>
                <w:rFonts w:ascii="仿宋_GB2312" w:eastAsia="仿宋_GB2312" w:hAnsi="Times New Roman" w:cs="Times New Roman"/>
                <w:color w:val="000000" w:themeColor="text1"/>
                <w:sz w:val="24"/>
                <w:szCs w:val="24"/>
              </w:rPr>
            </w:pPr>
            <w:hyperlink r:id="rId35" w:tgtFrame="_blank" w:history="1">
              <w:r w:rsidR="001F25F9" w:rsidRPr="00B14E30">
                <w:rPr>
                  <w:rFonts w:ascii="仿宋_GB2312" w:eastAsia="仿宋_GB2312" w:hAnsi="Times New Roman" w:cs="Times New Roman" w:hint="eastAsia"/>
                  <w:color w:val="000000" w:themeColor="text1"/>
                  <w:sz w:val="24"/>
                  <w:szCs w:val="24"/>
                </w:rPr>
                <w:t>通远堡高中</w:t>
              </w:r>
            </w:hyperlink>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22</w:t>
            </w:r>
          </w:p>
        </w:tc>
        <w:tc>
          <w:tcPr>
            <w:tcW w:w="1440"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880</w:t>
            </w:r>
          </w:p>
        </w:tc>
        <w:tc>
          <w:tcPr>
            <w:tcW w:w="1476"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2.5%</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787"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11</w:t>
            </w:r>
          </w:p>
        </w:tc>
        <w:tc>
          <w:tcPr>
            <w:tcW w:w="2520"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凤城二中</w:t>
            </w:r>
          </w:p>
        </w:tc>
        <w:tc>
          <w:tcPr>
            <w:tcW w:w="144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440"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834</w:t>
            </w:r>
          </w:p>
        </w:tc>
        <w:tc>
          <w:tcPr>
            <w:tcW w:w="1476" w:type="dxa"/>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1.67%</w:t>
            </w:r>
          </w:p>
        </w:tc>
        <w:tc>
          <w:tcPr>
            <w:tcW w:w="955"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bl>
    <w:p w:rsidR="001F25F9" w:rsidRPr="00B14E30" w:rsidRDefault="001F25F9" w:rsidP="001F25F9">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由表2.5可见，丹东市考生一本上线率为22.18%。东港二中、凤城一中、宽甸一中作为重点高中生源充足，且一本率相对不高，可作为我院招生计划内重点对象。东港市生源基数大，高中多，也可作为重点区域。此外，作为市内唯一一所本科院校，辽东学院是以经济学、教育学、文学为主要学科特色的综合性大学，与我院专业重合度不高，生源竞争优势较小，建议以工学专业为突破口开展宣传走访工作。</w:t>
      </w:r>
    </w:p>
    <w:p w:rsidR="001F25F9" w:rsidRPr="00B14E30" w:rsidRDefault="003E5B9B" w:rsidP="001F25F9">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fldChar w:fldCharType="begin"/>
      </w:r>
      <w:r w:rsidR="001F25F9" w:rsidRPr="00B14E30">
        <w:rPr>
          <w:rFonts w:ascii="仿宋_GB2312" w:eastAsia="仿宋_GB2312" w:hAnsi="仿宋" w:cs="Times New Roman" w:hint="eastAsia"/>
          <w:color w:val="000000" w:themeColor="text1"/>
          <w:sz w:val="32"/>
          <w:szCs w:val="32"/>
        </w:rPr>
        <w:instrText xml:space="preserve"> = 7 \* GB3 </w:instrText>
      </w:r>
      <w:r w:rsidRPr="00B14E30">
        <w:rPr>
          <w:rFonts w:ascii="仿宋_GB2312" w:eastAsia="仿宋_GB2312" w:hAnsi="仿宋" w:cs="Times New Roman" w:hint="eastAsia"/>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⑦</w:t>
      </w:r>
      <w:r w:rsidRPr="00B14E30">
        <w:rPr>
          <w:rFonts w:ascii="仿宋_GB2312" w:eastAsia="仿宋_GB2312" w:hAnsi="仿宋" w:cs="Times New Roman" w:hint="eastAsia"/>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营口市</w:t>
      </w:r>
    </w:p>
    <w:p w:rsidR="001F25F9" w:rsidRPr="00B14E30" w:rsidRDefault="001F25F9" w:rsidP="001F25F9">
      <w:pPr>
        <w:spacing w:line="560" w:lineRule="exact"/>
        <w:jc w:val="center"/>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表2.6 营口市录取人数</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23"/>
        <w:gridCol w:w="4751"/>
        <w:gridCol w:w="1573"/>
        <w:gridCol w:w="1171"/>
      </w:tblGrid>
      <w:tr w:rsidR="00B14E30" w:rsidRPr="00B14E30" w:rsidTr="00CE6A93">
        <w:trPr>
          <w:trHeight w:val="369"/>
          <w:jc w:val="center"/>
        </w:trPr>
        <w:tc>
          <w:tcPr>
            <w:tcW w:w="1123"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序号</w:t>
            </w:r>
          </w:p>
        </w:tc>
        <w:tc>
          <w:tcPr>
            <w:tcW w:w="4751" w:type="dxa"/>
            <w:vAlign w:val="center"/>
          </w:tcPr>
          <w:p w:rsidR="001F25F9" w:rsidRPr="00B14E30" w:rsidRDefault="001F25F9" w:rsidP="001F25F9">
            <w:pPr>
              <w:spacing w:line="330" w:lineRule="atLeas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bCs/>
                <w:color w:val="000000" w:themeColor="text1"/>
                <w:sz w:val="24"/>
                <w:szCs w:val="24"/>
              </w:rPr>
              <w:t>学校名称</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bCs/>
                <w:color w:val="000000" w:themeColor="text1"/>
                <w:sz w:val="24"/>
                <w:szCs w:val="24"/>
              </w:rPr>
              <w:t>录取人数</w:t>
            </w:r>
          </w:p>
        </w:tc>
        <w:tc>
          <w:tcPr>
            <w:tcW w:w="1171" w:type="dxa"/>
            <w:shd w:val="clear" w:color="auto" w:fill="auto"/>
            <w:vAlign w:val="center"/>
          </w:tcPr>
          <w:p w:rsidR="001F25F9" w:rsidRPr="00B14E30" w:rsidRDefault="001F25F9" w:rsidP="001F25F9">
            <w:pPr>
              <w:jc w:val="center"/>
              <w:rPr>
                <w:rFonts w:ascii="仿宋_GB2312" w:eastAsia="仿宋_GB2312" w:hAnsi="Times New Roman" w:cs="Times New Roman"/>
                <w:b/>
                <w:color w:val="000000" w:themeColor="text1"/>
                <w:sz w:val="24"/>
                <w:szCs w:val="24"/>
              </w:rPr>
            </w:pPr>
            <w:r w:rsidRPr="00B14E30">
              <w:rPr>
                <w:rFonts w:ascii="仿宋_GB2312" w:eastAsia="仿宋_GB2312" w:hAnsi="Times New Roman" w:cs="Times New Roman" w:hint="eastAsia"/>
                <w:b/>
                <w:color w:val="000000" w:themeColor="text1"/>
                <w:sz w:val="24"/>
                <w:szCs w:val="24"/>
              </w:rPr>
              <w:t>备注</w:t>
            </w: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18</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2</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营口市盖州市第一高级中学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17</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营口市实验高级中学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15</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4</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营口市开发区第一高级中学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14</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5</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营口市第三高级中学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营口市大石桥市高级中学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7</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营口市开发区熊岳高级中学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6</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8</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营口市盖州市第二高级中学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9</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营口市第二高级中学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r w:rsidR="00B14E30" w:rsidRPr="00B14E30" w:rsidTr="00CE6A93">
        <w:trPr>
          <w:trHeight w:val="369"/>
          <w:jc w:val="center"/>
        </w:trPr>
        <w:tc>
          <w:tcPr>
            <w:tcW w:w="1123"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10</w:t>
            </w:r>
          </w:p>
        </w:tc>
        <w:tc>
          <w:tcPr>
            <w:tcW w:w="4751" w:type="dxa"/>
            <w:vAlign w:val="center"/>
          </w:tcPr>
          <w:p w:rsidR="001F25F9" w:rsidRPr="00B14E30" w:rsidRDefault="001F25F9" w:rsidP="001F25F9">
            <w:pP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营口市大石桥市第二高级中学</w:t>
            </w:r>
          </w:p>
        </w:tc>
        <w:tc>
          <w:tcPr>
            <w:tcW w:w="1573" w:type="dxa"/>
            <w:vAlign w:val="center"/>
          </w:tcPr>
          <w:p w:rsidR="001F25F9" w:rsidRPr="00B14E30" w:rsidRDefault="001F25F9" w:rsidP="001F25F9">
            <w:pPr>
              <w:spacing w:line="330" w:lineRule="atLeast"/>
              <w:jc w:val="center"/>
              <w:rPr>
                <w:rFonts w:ascii="仿宋_GB2312" w:eastAsia="仿宋_GB2312" w:hAnsi="Times New Roman" w:cs="Times New Roman"/>
                <w:color w:val="000000" w:themeColor="text1"/>
                <w:sz w:val="24"/>
                <w:szCs w:val="24"/>
              </w:rPr>
            </w:pPr>
            <w:r w:rsidRPr="00B14E30">
              <w:rPr>
                <w:rFonts w:ascii="仿宋_GB2312" w:eastAsia="仿宋_GB2312" w:hAnsi="Times New Roman" w:cs="Times New Roman" w:hint="eastAsia"/>
                <w:color w:val="000000" w:themeColor="text1"/>
                <w:sz w:val="24"/>
                <w:szCs w:val="24"/>
              </w:rPr>
              <w:t>3</w:t>
            </w:r>
          </w:p>
        </w:tc>
        <w:tc>
          <w:tcPr>
            <w:tcW w:w="1171" w:type="dxa"/>
            <w:shd w:val="clear" w:color="auto" w:fill="auto"/>
            <w:noWrap/>
            <w:vAlign w:val="center"/>
          </w:tcPr>
          <w:p w:rsidR="001F25F9" w:rsidRPr="00B14E30" w:rsidRDefault="001F25F9" w:rsidP="001F25F9">
            <w:pPr>
              <w:jc w:val="center"/>
              <w:rPr>
                <w:rFonts w:ascii="仿宋_GB2312" w:eastAsia="仿宋_GB2312" w:hAnsi="Times New Roman" w:cs="Times New Roman"/>
                <w:color w:val="000000" w:themeColor="text1"/>
                <w:sz w:val="24"/>
                <w:szCs w:val="24"/>
              </w:rPr>
            </w:pPr>
          </w:p>
        </w:tc>
      </w:tr>
    </w:tbl>
    <w:p w:rsidR="001F25F9" w:rsidRPr="00B14E30" w:rsidRDefault="001F25F9" w:rsidP="001F25F9">
      <w:pPr>
        <w:widowControl/>
        <w:jc w:val="left"/>
        <w:rPr>
          <w:rFonts w:ascii="宋体" w:eastAsia="宋体" w:hAnsi="宋体" w:cs="宋体"/>
          <w:color w:val="000000" w:themeColor="text1"/>
          <w:kern w:val="0"/>
          <w:sz w:val="24"/>
          <w:szCs w:val="24"/>
        </w:rPr>
      </w:pPr>
      <w:r w:rsidRPr="00B14E30">
        <w:rPr>
          <w:rFonts w:ascii="宋体" w:eastAsia="宋体" w:hAnsi="宋体" w:cs="宋体"/>
          <w:noProof/>
          <w:color w:val="000000" w:themeColor="text1"/>
          <w:kern w:val="0"/>
          <w:sz w:val="24"/>
          <w:szCs w:val="24"/>
        </w:rPr>
        <w:lastRenderedPageBreak/>
        <w:drawing>
          <wp:inline distT="0" distB="0" distL="0" distR="0">
            <wp:extent cx="5730875" cy="230695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875" cy="2306955"/>
                    </a:xfrm>
                    <a:prstGeom prst="rect">
                      <a:avLst/>
                    </a:prstGeom>
                    <a:noFill/>
                    <a:ln>
                      <a:noFill/>
                    </a:ln>
                  </pic:spPr>
                </pic:pic>
              </a:graphicData>
            </a:graphic>
          </wp:inline>
        </w:drawing>
      </w:r>
    </w:p>
    <w:p w:rsidR="001F25F9" w:rsidRPr="00B14E30" w:rsidRDefault="001F25F9" w:rsidP="00F403BF">
      <w:pPr>
        <w:widowControl/>
        <w:spacing w:line="560" w:lineRule="exact"/>
        <w:jc w:val="center"/>
        <w:rPr>
          <w:rFonts w:ascii="仿宋_GB2312" w:eastAsia="仿宋_GB2312" w:hAnsi="宋体" w:cs="宋体"/>
          <w:color w:val="000000" w:themeColor="text1"/>
          <w:kern w:val="0"/>
          <w:sz w:val="32"/>
          <w:szCs w:val="32"/>
        </w:rPr>
      </w:pPr>
      <w:r w:rsidRPr="00B14E30">
        <w:rPr>
          <w:rFonts w:ascii="仿宋_GB2312" w:eastAsia="仿宋_GB2312" w:hAnsi="宋体" w:cs="宋体" w:hint="eastAsia"/>
          <w:color w:val="000000" w:themeColor="text1"/>
          <w:kern w:val="0"/>
          <w:sz w:val="32"/>
          <w:szCs w:val="32"/>
        </w:rPr>
        <w:t>图2.10 营口市录取人数分布图</w:t>
      </w:r>
    </w:p>
    <w:p w:rsidR="001F25F9" w:rsidRPr="00B14E30" w:rsidRDefault="001F25F9" w:rsidP="00F403BF">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三年以来我院营口市生源人数为101人，占省内生源总数的5.47%，位列全省第十位。考虑到营口市生源基数在辽宁省排名靠后，加之受到本地考生更倾向于报考外地院校因素的影响，我院在营口市的招生人数比例相对合理，且有一定的上升空间。</w:t>
      </w:r>
    </w:p>
    <w:p w:rsidR="001F25F9" w:rsidRPr="00B14E30" w:rsidRDefault="001F25F9" w:rsidP="00F403BF">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就营口市各高中而言，营口市高级中学、营口市实验高级中学、营口市盖州市第一高级中学、营口市开发区第一高级中学可作为我院的重点宣传学校。就城市区域而言，大石桥考生报考我院人数较少，应以无机非金属材料工程专业宣传为切入点，进一步加大在该地区的宣传投入力度。</w:t>
      </w:r>
    </w:p>
    <w:p w:rsidR="001F25F9" w:rsidRPr="00B14E30" w:rsidRDefault="001F25F9" w:rsidP="00F403BF">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作为营口唯一本科院校，我院专业依据区域产业需求设置，就业前景广阔，随着我院在营口市的社会知名度和影响力进一步提升，家长和考生的广泛认可，本地生源数量将会得到稳步提高。</w:t>
      </w:r>
    </w:p>
    <w:p w:rsidR="001F25F9" w:rsidRPr="00B14E30" w:rsidRDefault="001F25F9" w:rsidP="00F403BF">
      <w:pPr>
        <w:spacing w:line="560" w:lineRule="exact"/>
        <w:ind w:firstLineChars="200" w:firstLine="640"/>
        <w:rPr>
          <w:rFonts w:ascii="楷体_GB2312" w:eastAsia="楷体_GB2312" w:hAnsi="Calibri" w:cs="Times New Roman"/>
          <w:color w:val="000000" w:themeColor="text1"/>
          <w:sz w:val="32"/>
          <w:szCs w:val="32"/>
        </w:rPr>
      </w:pPr>
      <w:r w:rsidRPr="00B14E30">
        <w:rPr>
          <w:rFonts w:ascii="楷体_GB2312" w:eastAsia="楷体_GB2312" w:hAnsi="Calibri" w:cs="Times New Roman" w:hint="eastAsia"/>
          <w:color w:val="000000" w:themeColor="text1"/>
          <w:sz w:val="32"/>
          <w:szCs w:val="32"/>
        </w:rPr>
        <w:t>（二）2016年分省分专业计划编制研究分析</w:t>
      </w:r>
    </w:p>
    <w:p w:rsidR="001F25F9" w:rsidRPr="00B14E30" w:rsidRDefault="001F25F9" w:rsidP="00F403BF">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高校招生计划编制的合理性直接关系到生源质量、报到率等指标，进而影响招生工作整体质量，所以如何科学的编制招生计</w:t>
      </w:r>
      <w:r w:rsidRPr="00B14E30">
        <w:rPr>
          <w:rFonts w:ascii="仿宋_GB2312" w:eastAsia="仿宋_GB2312" w:hAnsi="Times New Roman" w:cs="Times New Roman" w:hint="eastAsia"/>
          <w:color w:val="000000" w:themeColor="text1"/>
          <w:sz w:val="32"/>
          <w:szCs w:val="32"/>
        </w:rPr>
        <w:lastRenderedPageBreak/>
        <w:t>划就显得尤为重要，我们试图通过对历年新生报到率、部分招生潜力省区分省分专业计划编制的分析研究，得出相关结论，为2016年招生计划编制提供参考依据。</w:t>
      </w:r>
    </w:p>
    <w:p w:rsidR="001F25F9" w:rsidRPr="00B14E30" w:rsidRDefault="001F25F9" w:rsidP="00F403BF">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1．历年新生报到情况分析</w:t>
      </w:r>
    </w:p>
    <w:p w:rsidR="001F25F9" w:rsidRPr="00B14E30" w:rsidRDefault="001F25F9" w:rsidP="00F403BF">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高等院校新生报到情况是体现招生计划合理与否的重要参考依据，分析历年新生报到率对于科学的制定招生计划具有一定指导意义。现通过2013-2015年我院新生报到情况进行分析，用于指导2016年计划编制工作。</w:t>
      </w:r>
    </w:p>
    <w:p w:rsidR="001F25F9" w:rsidRPr="00B14E30" w:rsidRDefault="001F25F9" w:rsidP="00F403BF">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 xml:space="preserve">考虑到我院省外招生计划总数较少，可研究样本有限，个别省区报到率容易受到其它因素干扰，仅作为2016年编制计划的辅助参考材料。 </w:t>
      </w:r>
    </w:p>
    <w:p w:rsidR="001F25F9" w:rsidRPr="00B14E30" w:rsidRDefault="001F25F9" w:rsidP="00F403BF">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（1）2013—2015年各省区新生报到情况分析</w:t>
      </w:r>
    </w:p>
    <w:p w:rsidR="001F25F9" w:rsidRPr="00B14E30" w:rsidRDefault="001F25F9" w:rsidP="00F403BF">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表2.7</w:t>
      </w:r>
      <w:r w:rsidRPr="00B14E30">
        <w:rPr>
          <w:rFonts w:ascii="仿宋_GB2312" w:eastAsia="仿宋_GB2312" w:hAnsi="宋体" w:cs="宋体" w:hint="eastAsia"/>
          <w:color w:val="000000" w:themeColor="text1"/>
          <w:sz w:val="32"/>
          <w:szCs w:val="32"/>
        </w:rPr>
        <w:t xml:space="preserve"> </w:t>
      </w:r>
      <w:r w:rsidRPr="00B14E30">
        <w:rPr>
          <w:rFonts w:ascii="仿宋_GB2312" w:eastAsia="仿宋_GB2312" w:hAnsi="Calibri" w:cs="Times New Roman" w:hint="eastAsia"/>
          <w:color w:val="000000" w:themeColor="text1"/>
          <w:sz w:val="32"/>
          <w:szCs w:val="32"/>
        </w:rPr>
        <w:t>2013—2015年各省区新生报到率</w:t>
      </w:r>
    </w:p>
    <w:tbl>
      <w:tblPr>
        <w:tblW w:w="7924" w:type="dxa"/>
        <w:jc w:val="center"/>
        <w:tblInd w:w="-3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bottom w:w="15" w:type="dxa"/>
        </w:tblCellMar>
        <w:tblLook w:val="0000"/>
      </w:tblPr>
      <w:tblGrid>
        <w:gridCol w:w="1502"/>
        <w:gridCol w:w="1598"/>
        <w:gridCol w:w="1598"/>
        <w:gridCol w:w="1613"/>
        <w:gridCol w:w="1613"/>
      </w:tblGrid>
      <w:tr w:rsidR="00B14E30" w:rsidRPr="00B14E30" w:rsidTr="00F403BF">
        <w:trPr>
          <w:trHeight w:val="414"/>
          <w:jc w:val="center"/>
        </w:trPr>
        <w:tc>
          <w:tcPr>
            <w:tcW w:w="1502"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省区</w:t>
            </w:r>
          </w:p>
        </w:tc>
        <w:tc>
          <w:tcPr>
            <w:tcW w:w="1598"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2013年</w:t>
            </w:r>
          </w:p>
        </w:tc>
        <w:tc>
          <w:tcPr>
            <w:tcW w:w="1598"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2014年</w:t>
            </w:r>
          </w:p>
        </w:tc>
        <w:tc>
          <w:tcPr>
            <w:tcW w:w="1613"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2015年</w:t>
            </w:r>
          </w:p>
        </w:tc>
        <w:tc>
          <w:tcPr>
            <w:tcW w:w="1613"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三年合计</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吉林</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黑龙江</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97.6%</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内蒙古</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98.8%</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辽宁</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98.6%</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98.8%</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99.0%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98.8%</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河北</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93.8%</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98.7%</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山西</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93.8%</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山东</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90.9%</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92.0%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93.9%</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四川</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82.1%</w:t>
            </w: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89.5%</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89.6%</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新疆</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陕西</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lastRenderedPageBreak/>
              <w:t>甘肃</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92.0%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94.6%</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贵州</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92.5%</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95.7%</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94.3%</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湖北</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90.9%</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88.9%</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广西</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71.4%</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83.3%</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云南</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81.8%</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安徽</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F403BF">
        <w:trPr>
          <w:trHeight w:val="414"/>
          <w:jc w:val="center"/>
        </w:trPr>
        <w:tc>
          <w:tcPr>
            <w:tcW w:w="1502"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河南</w:t>
            </w: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598" w:type="dxa"/>
            <w:vAlign w:val="center"/>
          </w:tcPr>
          <w:p w:rsidR="001F25F9" w:rsidRPr="00B14E30" w:rsidRDefault="001F25F9" w:rsidP="00F403BF">
            <w:pPr>
              <w:widowControl/>
              <w:jc w:val="center"/>
              <w:rPr>
                <w:rFonts w:ascii="仿宋_GB2312" w:eastAsia="仿宋_GB2312" w:hAnsi="Arial" w:cs="Arial"/>
                <w:color w:val="000000" w:themeColor="text1"/>
                <w:kern w:val="0"/>
                <w:szCs w:val="21"/>
              </w:rPr>
            </w:pP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90.0%</w:t>
            </w:r>
          </w:p>
        </w:tc>
        <w:tc>
          <w:tcPr>
            <w:tcW w:w="1613" w:type="dxa"/>
            <w:vAlign w:val="center"/>
          </w:tcPr>
          <w:p w:rsidR="001F25F9" w:rsidRPr="00B14E30" w:rsidRDefault="001F25F9" w:rsidP="00F403BF">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90.0%</w:t>
            </w:r>
          </w:p>
        </w:tc>
      </w:tr>
    </w:tbl>
    <w:p w:rsidR="001F25F9" w:rsidRPr="00B14E30" w:rsidRDefault="001F25F9" w:rsidP="001F25F9">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如表2.7所示，在2013-2015年连续投放计划的省区中，吉林省新生报到率均为100%，黑龙江、山西、内蒙古、河北四省仅有1人未报到。以上五省的高报到率体现出其对我院较高的认可度，可以作为我院省外稳固的生源来源地。相比而言，山东、四川两省报到率偏低。在2014-2015年连续投放计划的省区中，陕西、新疆新生报到率均为100%，广西、云南相对较低。仅在2015年投放计划的省区中，安徽新生报到率达到100%，建议加大投放计划。</w:t>
      </w:r>
    </w:p>
    <w:p w:rsidR="001F25F9" w:rsidRPr="00B14E30" w:rsidRDefault="001F25F9" w:rsidP="001F25F9">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值得注意的是，2015年广西、云南的报到率仅有71.4%和66.7%。</w:t>
      </w:r>
    </w:p>
    <w:p w:rsidR="001F25F9" w:rsidRPr="00B14E30" w:rsidRDefault="001F25F9" w:rsidP="001F25F9">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（2）2013—2015年各专业新生报到率</w:t>
      </w:r>
    </w:p>
    <w:p w:rsidR="001F25F9" w:rsidRPr="00B14E30" w:rsidRDefault="001F25F9" w:rsidP="001F25F9">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表</w:t>
      </w:r>
      <w:r w:rsidRPr="00B14E30">
        <w:rPr>
          <w:rFonts w:ascii="仿宋_GB2312" w:eastAsia="仿宋_GB2312" w:hAnsi="Calibri" w:cs="仿宋_GB2312"/>
          <w:color w:val="000000" w:themeColor="text1"/>
          <w:sz w:val="32"/>
          <w:szCs w:val="32"/>
        </w:rPr>
        <w:t>2.</w:t>
      </w:r>
      <w:r w:rsidRPr="00B14E30">
        <w:rPr>
          <w:rFonts w:ascii="仿宋_GB2312" w:eastAsia="仿宋_GB2312" w:hAnsi="Calibri" w:cs="仿宋_GB2312" w:hint="eastAsia"/>
          <w:color w:val="000000" w:themeColor="text1"/>
          <w:sz w:val="32"/>
          <w:szCs w:val="32"/>
        </w:rPr>
        <w:t>8</w:t>
      </w:r>
      <w:r w:rsidRPr="00B14E30">
        <w:rPr>
          <w:rFonts w:ascii="仿宋_GB2312" w:eastAsia="仿宋_GB2312" w:hAnsi="Calibri" w:cs="仿宋_GB2312"/>
          <w:color w:val="000000" w:themeColor="text1"/>
          <w:sz w:val="32"/>
          <w:szCs w:val="32"/>
        </w:rPr>
        <w:t xml:space="preserve"> 2013-2015</w:t>
      </w:r>
      <w:r w:rsidRPr="00B14E30">
        <w:rPr>
          <w:rFonts w:ascii="仿宋_GB2312" w:eastAsia="仿宋_GB2312" w:hAnsi="Calibri" w:cs="仿宋_GB2312" w:hint="eastAsia"/>
          <w:color w:val="000000" w:themeColor="text1"/>
          <w:sz w:val="32"/>
          <w:szCs w:val="32"/>
        </w:rPr>
        <w:t>年分专业报到情况表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82"/>
        <w:gridCol w:w="656"/>
        <w:gridCol w:w="642"/>
        <w:gridCol w:w="640"/>
        <w:gridCol w:w="657"/>
        <w:gridCol w:w="730"/>
        <w:gridCol w:w="733"/>
        <w:gridCol w:w="776"/>
        <w:gridCol w:w="657"/>
        <w:gridCol w:w="688"/>
        <w:gridCol w:w="1425"/>
      </w:tblGrid>
      <w:tr w:rsidR="00B14E30" w:rsidRPr="00B14E30" w:rsidTr="00CE6A93">
        <w:trPr>
          <w:trHeight w:val="540"/>
          <w:jc w:val="center"/>
        </w:trPr>
        <w:tc>
          <w:tcPr>
            <w:tcW w:w="1182"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w:t>
            </w:r>
          </w:p>
        </w:tc>
        <w:tc>
          <w:tcPr>
            <w:tcW w:w="1938" w:type="dxa"/>
            <w:gridSpan w:val="3"/>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b/>
                <w:color w:val="000000" w:themeColor="text1"/>
                <w:kern w:val="0"/>
                <w:szCs w:val="21"/>
              </w:rPr>
              <w:t>2013</w:t>
            </w:r>
            <w:r w:rsidRPr="00B14E30">
              <w:rPr>
                <w:rFonts w:ascii="仿宋_GB2312" w:eastAsia="仿宋_GB2312" w:hAnsi="宋体" w:cs="仿宋_GB2312" w:hint="eastAsia"/>
                <w:b/>
                <w:color w:val="000000" w:themeColor="text1"/>
                <w:kern w:val="0"/>
                <w:szCs w:val="21"/>
              </w:rPr>
              <w:t>年</w:t>
            </w:r>
          </w:p>
        </w:tc>
        <w:tc>
          <w:tcPr>
            <w:tcW w:w="2120" w:type="dxa"/>
            <w:gridSpan w:val="3"/>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b/>
                <w:color w:val="000000" w:themeColor="text1"/>
                <w:kern w:val="0"/>
                <w:szCs w:val="21"/>
              </w:rPr>
              <w:t>2014</w:t>
            </w:r>
            <w:r w:rsidRPr="00B14E30">
              <w:rPr>
                <w:rFonts w:ascii="仿宋_GB2312" w:eastAsia="仿宋_GB2312" w:hAnsi="宋体" w:cs="仿宋_GB2312" w:hint="eastAsia"/>
                <w:b/>
                <w:color w:val="000000" w:themeColor="text1"/>
                <w:kern w:val="0"/>
                <w:szCs w:val="21"/>
              </w:rPr>
              <w:t>年</w:t>
            </w:r>
          </w:p>
        </w:tc>
        <w:tc>
          <w:tcPr>
            <w:tcW w:w="2121" w:type="dxa"/>
            <w:gridSpan w:val="3"/>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b/>
                <w:color w:val="000000" w:themeColor="text1"/>
                <w:kern w:val="0"/>
                <w:szCs w:val="21"/>
              </w:rPr>
              <w:t>2015</w:t>
            </w:r>
            <w:r w:rsidRPr="00B14E30">
              <w:rPr>
                <w:rFonts w:ascii="仿宋_GB2312" w:eastAsia="仿宋_GB2312" w:hAnsi="宋体" w:cs="仿宋_GB2312" w:hint="eastAsia"/>
                <w:b/>
                <w:color w:val="000000" w:themeColor="text1"/>
                <w:kern w:val="0"/>
                <w:szCs w:val="21"/>
              </w:rPr>
              <w:t>年</w:t>
            </w:r>
          </w:p>
        </w:tc>
        <w:tc>
          <w:tcPr>
            <w:tcW w:w="1425"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三年未报到人数</w:t>
            </w:r>
          </w:p>
        </w:tc>
      </w:tr>
      <w:tr w:rsidR="00B14E30" w:rsidRPr="00B14E30" w:rsidTr="00CE6A93">
        <w:trPr>
          <w:trHeight w:val="468"/>
          <w:jc w:val="center"/>
        </w:trPr>
        <w:tc>
          <w:tcPr>
            <w:tcW w:w="1182"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56"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录取人数</w:t>
            </w:r>
          </w:p>
        </w:tc>
        <w:tc>
          <w:tcPr>
            <w:tcW w:w="642"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报到人数</w:t>
            </w:r>
          </w:p>
        </w:tc>
        <w:tc>
          <w:tcPr>
            <w:tcW w:w="640"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未报到人数</w:t>
            </w:r>
          </w:p>
        </w:tc>
        <w:tc>
          <w:tcPr>
            <w:tcW w:w="657"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录取人数</w:t>
            </w:r>
          </w:p>
        </w:tc>
        <w:tc>
          <w:tcPr>
            <w:tcW w:w="730"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报到人数</w:t>
            </w:r>
          </w:p>
        </w:tc>
        <w:tc>
          <w:tcPr>
            <w:tcW w:w="733"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未报到人数</w:t>
            </w:r>
          </w:p>
        </w:tc>
        <w:tc>
          <w:tcPr>
            <w:tcW w:w="776"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录取人数</w:t>
            </w:r>
          </w:p>
        </w:tc>
        <w:tc>
          <w:tcPr>
            <w:tcW w:w="657"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报到人数</w:t>
            </w:r>
          </w:p>
        </w:tc>
        <w:tc>
          <w:tcPr>
            <w:tcW w:w="688" w:type="dxa"/>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未报到人数</w:t>
            </w:r>
          </w:p>
        </w:tc>
        <w:tc>
          <w:tcPr>
            <w:tcW w:w="142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机制</w:t>
            </w:r>
          </w:p>
        </w:tc>
        <w:tc>
          <w:tcPr>
            <w:tcW w:w="65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42"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64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115</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116</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自动化</w:t>
            </w:r>
          </w:p>
        </w:tc>
        <w:tc>
          <w:tcPr>
            <w:tcW w:w="65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42"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64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118</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lastRenderedPageBreak/>
              <w:t>化工</w:t>
            </w:r>
          </w:p>
        </w:tc>
        <w:tc>
          <w:tcPr>
            <w:tcW w:w="65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123</w:t>
            </w:r>
          </w:p>
        </w:tc>
        <w:tc>
          <w:tcPr>
            <w:tcW w:w="642"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4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118</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无机非</w:t>
            </w:r>
          </w:p>
        </w:tc>
        <w:tc>
          <w:tcPr>
            <w:tcW w:w="65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121</w:t>
            </w:r>
          </w:p>
        </w:tc>
        <w:tc>
          <w:tcPr>
            <w:tcW w:w="642"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114</w:t>
            </w:r>
          </w:p>
        </w:tc>
        <w:tc>
          <w:tcPr>
            <w:tcW w:w="64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117</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62</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61</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物流</w:t>
            </w:r>
          </w:p>
        </w:tc>
        <w:tc>
          <w:tcPr>
            <w:tcW w:w="65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121</w:t>
            </w:r>
          </w:p>
        </w:tc>
        <w:tc>
          <w:tcPr>
            <w:tcW w:w="642"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64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118</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117</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材控</w:t>
            </w:r>
          </w:p>
        </w:tc>
        <w:tc>
          <w:tcPr>
            <w:tcW w:w="656"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2"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0"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117</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应化</w:t>
            </w:r>
          </w:p>
        </w:tc>
        <w:tc>
          <w:tcPr>
            <w:tcW w:w="656"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2"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0"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117</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r>
      <w:tr w:rsidR="00B14E30" w:rsidRPr="00B14E30" w:rsidTr="00CE6A93">
        <w:trPr>
          <w:trHeight w:val="454"/>
          <w:jc w:val="center"/>
        </w:trPr>
        <w:tc>
          <w:tcPr>
            <w:tcW w:w="1182" w:type="dxa"/>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电气</w:t>
            </w:r>
          </w:p>
        </w:tc>
        <w:tc>
          <w:tcPr>
            <w:tcW w:w="656"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2"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0" w:type="dxa"/>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730"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733"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77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114</w:t>
            </w:r>
          </w:p>
        </w:tc>
        <w:tc>
          <w:tcPr>
            <w:tcW w:w="688"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142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r>
      <w:tr w:rsidR="00B14E30" w:rsidRPr="00B14E30" w:rsidTr="00CE6A93">
        <w:trPr>
          <w:trHeight w:val="454"/>
          <w:jc w:val="center"/>
        </w:trPr>
        <w:tc>
          <w:tcPr>
            <w:tcW w:w="1182" w:type="dxa"/>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材料</w:t>
            </w:r>
          </w:p>
        </w:tc>
        <w:tc>
          <w:tcPr>
            <w:tcW w:w="656"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2"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40"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657"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730"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733" w:type="dxa"/>
            <w:tcBorders>
              <w:bottom w:val="single" w:sz="12" w:space="0" w:color="auto"/>
            </w:tcBorders>
            <w:vAlign w:val="center"/>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776"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120</w:t>
            </w:r>
          </w:p>
        </w:tc>
        <w:tc>
          <w:tcPr>
            <w:tcW w:w="657"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118</w:t>
            </w:r>
          </w:p>
        </w:tc>
        <w:tc>
          <w:tcPr>
            <w:tcW w:w="688"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42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r>
    </w:tbl>
    <w:p w:rsidR="001F25F9" w:rsidRPr="00B14E30" w:rsidRDefault="001F25F9" w:rsidP="00F403BF">
      <w:pPr>
        <w:ind w:left="424" w:hangingChars="202" w:hanging="424"/>
        <w:rPr>
          <w:rFonts w:ascii="仿宋_GB2312" w:eastAsia="仿宋_GB2312" w:hAnsi="Times New Roman" w:cs="Times New Roman"/>
          <w:color w:val="000000" w:themeColor="text1"/>
          <w:szCs w:val="21"/>
        </w:rPr>
      </w:pPr>
      <w:r w:rsidRPr="00B14E30">
        <w:rPr>
          <w:rFonts w:ascii="仿宋_GB2312" w:eastAsia="仿宋_GB2312" w:hAnsi="Times New Roman" w:cs="Times New Roman" w:hint="eastAsia"/>
          <w:color w:val="000000" w:themeColor="text1"/>
          <w:szCs w:val="21"/>
        </w:rPr>
        <w:t>注：应化（应用化学）、机制（机械设计制造及其自动化）、材控（材料成型及控制工程）、材料（材料科学与工程）、无机非（无机非金属材料工程）、电气（电气工程及其自动化）、自动化、化工（化学工程与工艺）和物流（物流管理）。</w:t>
      </w:r>
    </w:p>
    <w:p w:rsidR="001F25F9" w:rsidRPr="00B14E30" w:rsidRDefault="001F25F9" w:rsidP="00F403BF">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（3）2013—2015年各省区各专业新生报到率</w:t>
      </w:r>
    </w:p>
    <w:p w:rsidR="001F25F9" w:rsidRPr="00B14E30" w:rsidRDefault="001F25F9" w:rsidP="00F403BF">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表2.9</w:t>
      </w:r>
      <w:r w:rsidRPr="00B14E30">
        <w:rPr>
          <w:rFonts w:ascii="仿宋_GB2312" w:eastAsia="仿宋_GB2312" w:hAnsi="宋体" w:cs="宋体" w:hint="eastAsia"/>
          <w:color w:val="000000" w:themeColor="text1"/>
          <w:sz w:val="32"/>
          <w:szCs w:val="32"/>
        </w:rPr>
        <w:t xml:space="preserve"> </w:t>
      </w:r>
      <w:r w:rsidRPr="00B14E30">
        <w:rPr>
          <w:rFonts w:ascii="仿宋_GB2312" w:eastAsia="仿宋_GB2312" w:hAnsi="Calibri" w:cs="Times New Roman" w:hint="eastAsia"/>
          <w:color w:val="000000" w:themeColor="text1"/>
          <w:sz w:val="32"/>
          <w:szCs w:val="32"/>
        </w:rPr>
        <w:t>2013—2015年各省区各专业新生报到率</w:t>
      </w:r>
    </w:p>
    <w:tbl>
      <w:tblPr>
        <w:tblW w:w="7962" w:type="dxa"/>
        <w:jc w:val="center"/>
        <w:tblInd w:w="2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bottom w:w="15" w:type="dxa"/>
        </w:tblCellMar>
        <w:tblLook w:val="0000"/>
      </w:tblPr>
      <w:tblGrid>
        <w:gridCol w:w="962"/>
        <w:gridCol w:w="1932"/>
        <w:gridCol w:w="1206"/>
        <w:gridCol w:w="1275"/>
        <w:gridCol w:w="1276"/>
        <w:gridCol w:w="1311"/>
      </w:tblGrid>
      <w:tr w:rsidR="00B14E30" w:rsidRPr="00B14E30" w:rsidTr="00CE6A93">
        <w:trPr>
          <w:trHeight w:val="360"/>
          <w:jc w:val="center"/>
        </w:trPr>
        <w:tc>
          <w:tcPr>
            <w:tcW w:w="962" w:type="dxa"/>
            <w:vAlign w:val="center"/>
          </w:tcPr>
          <w:p w:rsidR="001F25F9" w:rsidRPr="00B14E30" w:rsidRDefault="001F25F9" w:rsidP="00F403BF">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省</w:t>
            </w:r>
            <w:r w:rsidR="00F403BF" w:rsidRPr="00B14E30">
              <w:rPr>
                <w:rFonts w:ascii="仿宋_GB2312" w:eastAsia="仿宋_GB2312" w:hAnsi="Arial" w:cs="Arial" w:hint="eastAsia"/>
                <w:b/>
                <w:color w:val="000000" w:themeColor="text1"/>
                <w:kern w:val="0"/>
                <w:szCs w:val="21"/>
              </w:rPr>
              <w:t>区</w:t>
            </w:r>
          </w:p>
        </w:tc>
        <w:tc>
          <w:tcPr>
            <w:tcW w:w="1932" w:type="dxa"/>
            <w:vAlign w:val="center"/>
          </w:tcPr>
          <w:p w:rsidR="001F25F9" w:rsidRPr="00B14E30" w:rsidRDefault="001F25F9" w:rsidP="001F25F9">
            <w:pPr>
              <w:widowControl/>
              <w:jc w:val="center"/>
              <w:rPr>
                <w:rFonts w:ascii="仿宋_GB2312" w:eastAsia="仿宋_GB2312" w:hAnsi="宋体" w:cs="Arial"/>
                <w:b/>
                <w:color w:val="000000" w:themeColor="text1"/>
                <w:kern w:val="0"/>
                <w:szCs w:val="21"/>
              </w:rPr>
            </w:pPr>
            <w:r w:rsidRPr="00B14E30">
              <w:rPr>
                <w:rFonts w:ascii="仿宋_GB2312" w:eastAsia="仿宋_GB2312" w:hAnsi="宋体" w:cs="Arial" w:hint="eastAsia"/>
                <w:b/>
                <w:color w:val="000000" w:themeColor="text1"/>
                <w:kern w:val="0"/>
                <w:szCs w:val="21"/>
              </w:rPr>
              <w:t>专业</w:t>
            </w:r>
          </w:p>
        </w:tc>
        <w:tc>
          <w:tcPr>
            <w:tcW w:w="1206" w:type="dxa"/>
            <w:vAlign w:val="center"/>
          </w:tcPr>
          <w:p w:rsidR="001F25F9" w:rsidRPr="00B14E30" w:rsidRDefault="001F25F9" w:rsidP="001F25F9">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2013</w:t>
            </w:r>
            <w:r w:rsidRPr="00B14E30">
              <w:rPr>
                <w:rFonts w:ascii="仿宋_GB2312" w:eastAsia="仿宋_GB2312" w:hAnsi="宋体" w:cs="Arial" w:hint="eastAsia"/>
                <w:b/>
                <w:color w:val="000000" w:themeColor="text1"/>
                <w:kern w:val="0"/>
                <w:szCs w:val="21"/>
              </w:rPr>
              <w:t>年</w:t>
            </w:r>
          </w:p>
        </w:tc>
        <w:tc>
          <w:tcPr>
            <w:tcW w:w="1275" w:type="dxa"/>
            <w:vAlign w:val="center"/>
          </w:tcPr>
          <w:p w:rsidR="001F25F9" w:rsidRPr="00B14E30" w:rsidRDefault="001F25F9" w:rsidP="001F25F9">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2014</w:t>
            </w:r>
            <w:r w:rsidRPr="00B14E30">
              <w:rPr>
                <w:rFonts w:ascii="仿宋_GB2312" w:eastAsia="仿宋_GB2312" w:hAnsi="宋体" w:cs="Arial" w:hint="eastAsia"/>
                <w:b/>
                <w:color w:val="000000" w:themeColor="text1"/>
                <w:kern w:val="0"/>
                <w:szCs w:val="21"/>
              </w:rPr>
              <w:t>年</w:t>
            </w:r>
          </w:p>
        </w:tc>
        <w:tc>
          <w:tcPr>
            <w:tcW w:w="1276" w:type="dxa"/>
            <w:vAlign w:val="center"/>
          </w:tcPr>
          <w:p w:rsidR="001F25F9" w:rsidRPr="00B14E30" w:rsidRDefault="001F25F9" w:rsidP="001F25F9">
            <w:pPr>
              <w:widowControl/>
              <w:jc w:val="center"/>
              <w:rPr>
                <w:rFonts w:ascii="仿宋_GB2312" w:eastAsia="仿宋_GB2312" w:hAnsi="Arial" w:cs="Arial"/>
                <w:b/>
                <w:color w:val="000000" w:themeColor="text1"/>
                <w:kern w:val="0"/>
                <w:szCs w:val="21"/>
              </w:rPr>
            </w:pPr>
            <w:r w:rsidRPr="00B14E30">
              <w:rPr>
                <w:rFonts w:ascii="仿宋_GB2312" w:eastAsia="仿宋_GB2312" w:hAnsi="Arial" w:cs="Arial" w:hint="eastAsia"/>
                <w:b/>
                <w:color w:val="000000" w:themeColor="text1"/>
                <w:kern w:val="0"/>
                <w:szCs w:val="21"/>
              </w:rPr>
              <w:t>2015</w:t>
            </w:r>
            <w:r w:rsidRPr="00B14E30">
              <w:rPr>
                <w:rFonts w:ascii="仿宋_GB2312" w:eastAsia="仿宋_GB2312" w:hAnsi="宋体" w:cs="Arial" w:hint="eastAsia"/>
                <w:b/>
                <w:color w:val="000000" w:themeColor="text1"/>
                <w:kern w:val="0"/>
                <w:szCs w:val="21"/>
              </w:rPr>
              <w:t>年</w:t>
            </w:r>
          </w:p>
        </w:tc>
        <w:tc>
          <w:tcPr>
            <w:tcW w:w="1311" w:type="dxa"/>
            <w:vAlign w:val="center"/>
          </w:tcPr>
          <w:p w:rsidR="001F25F9" w:rsidRPr="00B14E30" w:rsidRDefault="001F25F9" w:rsidP="001F25F9">
            <w:pPr>
              <w:widowControl/>
              <w:jc w:val="center"/>
              <w:rPr>
                <w:rFonts w:ascii="仿宋_GB2312" w:eastAsia="仿宋_GB2312" w:hAnsi="宋体" w:cs="Arial"/>
                <w:b/>
                <w:color w:val="000000" w:themeColor="text1"/>
                <w:kern w:val="0"/>
                <w:szCs w:val="21"/>
              </w:rPr>
            </w:pPr>
            <w:r w:rsidRPr="00B14E30">
              <w:rPr>
                <w:rFonts w:ascii="仿宋_GB2312" w:eastAsia="仿宋_GB2312" w:hAnsi="宋体" w:cs="Arial" w:hint="eastAsia"/>
                <w:b/>
                <w:color w:val="000000" w:themeColor="text1"/>
                <w:kern w:val="0"/>
                <w:szCs w:val="21"/>
              </w:rPr>
              <w:t>三年合计</w:t>
            </w:r>
          </w:p>
        </w:tc>
      </w:tr>
      <w:tr w:rsidR="00B14E30" w:rsidRPr="00B14E30" w:rsidTr="00CE6A93">
        <w:trPr>
          <w:trHeight w:val="37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河北</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无机、自动化、化工、物流（文）、物流（理）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7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88.9%</w:t>
            </w:r>
          </w:p>
        </w:tc>
      </w:tr>
      <w:tr w:rsidR="00B14E30" w:rsidRPr="00B14E30" w:rsidTr="00CE6A93">
        <w:trPr>
          <w:trHeight w:val="37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材控、应化、电气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7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7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山西</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机制、自动化、化工、物流（文）、物流（理）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7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83.3%</w:t>
            </w:r>
          </w:p>
        </w:tc>
      </w:tr>
      <w:tr w:rsidR="00B14E30" w:rsidRPr="00B14E30" w:rsidTr="00CE6A93">
        <w:trPr>
          <w:trHeight w:val="37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材控、应化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85.7%</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黑龙江</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机制、无机、自动化、化工、物流（文）、物流（理）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材控、应化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85.7%</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lastRenderedPageBreak/>
              <w:t>山东</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自动化、化工、物流（理）、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物流（文）</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83.3%</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四川</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自动化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83.3%</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91.7%</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物流（文）</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应化、电气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87.5%</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化工</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r>
      <w:tr w:rsidR="00B14E30" w:rsidRPr="00B14E30" w:rsidTr="00CE6A93">
        <w:trPr>
          <w:trHeight w:val="28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内蒙古</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机制、自动化、化工、物流（文）、物流（理）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88.9%</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材控、应化、电气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restart"/>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r w:rsidRPr="00B14E30">
              <w:rPr>
                <w:rFonts w:ascii="仿宋_GB2312" w:eastAsia="仿宋_GB2312" w:hAnsi="Arial" w:cs="Arial" w:hint="eastAsia"/>
                <w:color w:val="000000" w:themeColor="text1"/>
                <w:kern w:val="0"/>
                <w:szCs w:val="21"/>
              </w:rPr>
              <w:t>辽宁</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97.6%</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99.2%</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自动化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98.8%</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98.7%</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99.2%</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化工</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98.0%</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97.6%</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98.5%</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物流（文）</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97.8%</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96.8%</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98.3%</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95.9%</w:t>
            </w: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97.8%</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应化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99.4%</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97.6%</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98.3%</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Arial"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98.9%</w:t>
            </w:r>
          </w:p>
        </w:tc>
      </w:tr>
      <w:tr w:rsidR="00B14E30" w:rsidRPr="00B14E30" w:rsidTr="00CE6A93">
        <w:trPr>
          <w:trHeight w:val="300"/>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湖北</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自动化、材控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应化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物流（文）</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广西</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66.7%</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300"/>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贵州</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无机、自动化、化工、电气、物流（理）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90.0%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应化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87.5%</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85.7%</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85.7%</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85.7%</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物流（文）</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285"/>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材料</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300"/>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云南</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化工</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r>
      <w:tr w:rsidR="00B14E30" w:rsidRPr="00B14E30" w:rsidTr="00CE6A93">
        <w:trPr>
          <w:trHeight w:val="300"/>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甘肃</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自动化</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75.0%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88.9%</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77.8%</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无机、化工、物流（文）、材控、应化、电气</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安徽</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机制、自动化、物流（理）、材控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15"/>
          <w:jc w:val="center"/>
        </w:trPr>
        <w:tc>
          <w:tcPr>
            <w:tcW w:w="962" w:type="dxa"/>
            <w:vMerge w:val="restart"/>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r w:rsidRPr="00B14E30">
              <w:rPr>
                <w:rFonts w:ascii="仿宋_GB2312" w:eastAsia="仿宋_GB2312" w:hAnsi="宋体" w:cs="Arial" w:hint="eastAsia"/>
                <w:color w:val="000000" w:themeColor="text1"/>
                <w:kern w:val="0"/>
                <w:szCs w:val="21"/>
              </w:rPr>
              <w:t>河南</w:t>
            </w: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机制、自动化、材控</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100.0%</w:t>
            </w:r>
          </w:p>
        </w:tc>
      </w:tr>
      <w:tr w:rsidR="00B14E30" w:rsidRPr="00B14E30" w:rsidTr="00CE6A93">
        <w:trPr>
          <w:trHeight w:val="300"/>
          <w:jc w:val="center"/>
        </w:trPr>
        <w:tc>
          <w:tcPr>
            <w:tcW w:w="962" w:type="dxa"/>
            <w:vMerge/>
            <w:vAlign w:val="center"/>
          </w:tcPr>
          <w:p w:rsidR="001F25F9" w:rsidRPr="00B14E30" w:rsidRDefault="001F25F9" w:rsidP="001F25F9">
            <w:pPr>
              <w:widowControl/>
              <w:jc w:val="center"/>
              <w:rPr>
                <w:rFonts w:ascii="仿宋_GB2312" w:eastAsia="仿宋_GB2312" w:hAnsi="宋体" w:cs="Arial"/>
                <w:color w:val="000000" w:themeColor="text1"/>
                <w:kern w:val="0"/>
                <w:szCs w:val="21"/>
              </w:rPr>
            </w:pPr>
          </w:p>
        </w:tc>
        <w:tc>
          <w:tcPr>
            <w:tcW w:w="1932"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物流（理）</w:t>
            </w:r>
          </w:p>
        </w:tc>
        <w:tc>
          <w:tcPr>
            <w:tcW w:w="1206"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5" w:type="dxa"/>
            <w:vAlign w:val="center"/>
          </w:tcPr>
          <w:p w:rsidR="001F25F9" w:rsidRPr="00B14E30" w:rsidRDefault="001F25F9" w:rsidP="001F25F9">
            <w:pPr>
              <w:jc w:val="center"/>
              <w:rPr>
                <w:rFonts w:ascii="仿宋_GB2312" w:eastAsia="仿宋_GB2312" w:hAnsi="Arial" w:cs="Arial"/>
                <w:color w:val="000000" w:themeColor="text1"/>
                <w:szCs w:val="21"/>
              </w:rPr>
            </w:pPr>
          </w:p>
        </w:tc>
        <w:tc>
          <w:tcPr>
            <w:tcW w:w="1276"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c>
          <w:tcPr>
            <w:tcW w:w="1311" w:type="dxa"/>
            <w:vAlign w:val="center"/>
          </w:tcPr>
          <w:p w:rsidR="001F25F9" w:rsidRPr="00B14E30" w:rsidRDefault="001F25F9" w:rsidP="001F25F9">
            <w:pPr>
              <w:jc w:val="center"/>
              <w:rPr>
                <w:rFonts w:ascii="仿宋_GB2312" w:eastAsia="仿宋_GB2312" w:hAnsi="Arial" w:cs="Arial"/>
                <w:color w:val="000000" w:themeColor="text1"/>
                <w:szCs w:val="21"/>
              </w:rPr>
            </w:pPr>
            <w:r w:rsidRPr="00B14E30">
              <w:rPr>
                <w:rFonts w:ascii="仿宋_GB2312" w:eastAsia="仿宋_GB2312" w:hAnsi="Arial" w:cs="Arial" w:hint="eastAsia"/>
                <w:color w:val="000000" w:themeColor="text1"/>
                <w:szCs w:val="21"/>
              </w:rPr>
              <w:t>50.0%</w:t>
            </w:r>
          </w:p>
        </w:tc>
      </w:tr>
    </w:tbl>
    <w:p w:rsidR="001F25F9" w:rsidRPr="00B14E30" w:rsidRDefault="001F25F9" w:rsidP="001F25F9">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（4）总体情况分析</w:t>
      </w:r>
    </w:p>
    <w:p w:rsidR="001F25F9" w:rsidRPr="00B14E30" w:rsidRDefault="003E5B9B" w:rsidP="001F25F9">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color w:val="000000" w:themeColor="text1"/>
          <w:sz w:val="32"/>
          <w:szCs w:val="32"/>
        </w:rPr>
        <w:fldChar w:fldCharType="begin"/>
      </w:r>
      <w:r w:rsidR="001F25F9" w:rsidRPr="00B14E30">
        <w:rPr>
          <w:rFonts w:ascii="仿宋_GB2312" w:eastAsia="仿宋_GB2312" w:hAnsi="Calibri" w:cs="Times New Roman"/>
          <w:color w:val="000000" w:themeColor="text1"/>
          <w:sz w:val="32"/>
          <w:szCs w:val="32"/>
        </w:rPr>
        <w:instrText xml:space="preserve"> </w:instrText>
      </w:r>
      <w:r w:rsidR="001F25F9" w:rsidRPr="00B14E30">
        <w:rPr>
          <w:rFonts w:ascii="仿宋_GB2312" w:eastAsia="仿宋_GB2312" w:hAnsi="Calibri" w:cs="Times New Roman" w:hint="eastAsia"/>
          <w:color w:val="000000" w:themeColor="text1"/>
          <w:sz w:val="32"/>
          <w:szCs w:val="32"/>
        </w:rPr>
        <w:instrText>= 1 \* GB3</w:instrText>
      </w:r>
      <w:r w:rsidR="001F25F9" w:rsidRPr="00B14E30">
        <w:rPr>
          <w:rFonts w:ascii="仿宋_GB2312" w:eastAsia="仿宋_GB2312" w:hAnsi="Calibri" w:cs="Times New Roman"/>
          <w:color w:val="000000" w:themeColor="text1"/>
          <w:sz w:val="32"/>
          <w:szCs w:val="32"/>
        </w:rPr>
        <w:instrText xml:space="preserve"> </w:instrText>
      </w:r>
      <w:r w:rsidRPr="00B14E30">
        <w:rPr>
          <w:rFonts w:ascii="仿宋_GB2312" w:eastAsia="仿宋_GB2312" w:hAnsi="Calibri" w:cs="Times New Roman"/>
          <w:color w:val="000000" w:themeColor="text1"/>
          <w:sz w:val="32"/>
          <w:szCs w:val="32"/>
        </w:rPr>
        <w:fldChar w:fldCharType="separate"/>
      </w:r>
      <w:r w:rsidR="001F25F9" w:rsidRPr="00B14E30">
        <w:rPr>
          <w:rFonts w:ascii="仿宋_GB2312" w:eastAsia="仿宋_GB2312" w:hAnsi="Calibri" w:cs="Times New Roman" w:hint="eastAsia"/>
          <w:noProof/>
          <w:color w:val="000000" w:themeColor="text1"/>
          <w:sz w:val="32"/>
          <w:szCs w:val="32"/>
        </w:rPr>
        <w:t>①</w:t>
      </w:r>
      <w:r w:rsidRPr="00B14E30">
        <w:rPr>
          <w:rFonts w:ascii="仿宋_GB2312" w:eastAsia="仿宋_GB2312" w:hAnsi="Calibri" w:cs="Times New Roman"/>
          <w:color w:val="000000" w:themeColor="text1"/>
          <w:sz w:val="32"/>
          <w:szCs w:val="32"/>
        </w:rPr>
        <w:fldChar w:fldCharType="end"/>
      </w:r>
      <w:r w:rsidR="001F25F9" w:rsidRPr="00B14E30">
        <w:rPr>
          <w:rFonts w:ascii="仿宋_GB2312" w:eastAsia="仿宋_GB2312" w:hAnsi="Calibri" w:cs="Times New Roman" w:hint="eastAsia"/>
          <w:color w:val="000000" w:themeColor="text1"/>
          <w:sz w:val="32"/>
          <w:szCs w:val="32"/>
        </w:rPr>
        <w:t>分省区</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根据2013—2015年省外报到情况来看，吉林省连续三年各专业报到率均达到100%。其次，黑龙江(98.9%)、内蒙古(98.8%)、河北(98.7%)，山西（97%）以上五省区整体报到率较高，可作为我院外省稳固的生源来源地。山东和四川报到率较低，分别为93.9%和89.6%。建议适当调整投放计划。省内情况来看，辽宁省各专业报到率为98.8%，整体良好。</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根据2014—2015年各省区报到情况来看，陕西省、新疆报</w:t>
      </w:r>
      <w:r w:rsidRPr="00B14E30">
        <w:rPr>
          <w:rFonts w:ascii="仿宋_GB2312" w:eastAsia="仿宋_GB2312" w:hAnsi="Calibri" w:cs="Times New Roman" w:hint="eastAsia"/>
          <w:color w:val="000000" w:themeColor="text1"/>
          <w:sz w:val="32"/>
          <w:szCs w:val="32"/>
        </w:rPr>
        <w:lastRenderedPageBreak/>
        <w:t>到率均为100%。其次是甘肃(94.6%)、贵州省(94.3%)、湖北省（90%）、广西(83.3%)、云南(81.1%)。考虑到以上省区以偏远地区居多，建议减少投放计划。</w:t>
      </w:r>
    </w:p>
    <w:p w:rsidR="001F25F9" w:rsidRPr="00B14E30" w:rsidRDefault="003E5B9B"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color w:val="000000" w:themeColor="text1"/>
          <w:sz w:val="32"/>
          <w:szCs w:val="32"/>
        </w:rPr>
        <w:fldChar w:fldCharType="begin"/>
      </w:r>
      <w:r w:rsidR="001F25F9" w:rsidRPr="00B14E30">
        <w:rPr>
          <w:rFonts w:ascii="仿宋_GB2312" w:eastAsia="仿宋_GB2312" w:hAnsi="Calibri" w:cs="Times New Roman"/>
          <w:color w:val="000000" w:themeColor="text1"/>
          <w:sz w:val="32"/>
          <w:szCs w:val="32"/>
        </w:rPr>
        <w:instrText xml:space="preserve"> </w:instrText>
      </w:r>
      <w:r w:rsidR="001F25F9" w:rsidRPr="00B14E30">
        <w:rPr>
          <w:rFonts w:ascii="仿宋_GB2312" w:eastAsia="仿宋_GB2312" w:hAnsi="Calibri" w:cs="Times New Roman" w:hint="eastAsia"/>
          <w:color w:val="000000" w:themeColor="text1"/>
          <w:sz w:val="32"/>
          <w:szCs w:val="32"/>
        </w:rPr>
        <w:instrText>= 2 \* GB3</w:instrText>
      </w:r>
      <w:r w:rsidR="001F25F9" w:rsidRPr="00B14E30">
        <w:rPr>
          <w:rFonts w:ascii="仿宋_GB2312" w:eastAsia="仿宋_GB2312" w:hAnsi="Calibri" w:cs="Times New Roman"/>
          <w:color w:val="000000" w:themeColor="text1"/>
          <w:sz w:val="32"/>
          <w:szCs w:val="32"/>
        </w:rPr>
        <w:instrText xml:space="preserve"> </w:instrText>
      </w:r>
      <w:r w:rsidRPr="00B14E30">
        <w:rPr>
          <w:rFonts w:ascii="仿宋_GB2312" w:eastAsia="仿宋_GB2312" w:hAnsi="Calibri" w:cs="Times New Roman"/>
          <w:color w:val="000000" w:themeColor="text1"/>
          <w:sz w:val="32"/>
          <w:szCs w:val="32"/>
        </w:rPr>
        <w:fldChar w:fldCharType="separate"/>
      </w:r>
      <w:r w:rsidR="001F25F9" w:rsidRPr="00B14E30">
        <w:rPr>
          <w:rFonts w:ascii="仿宋_GB2312" w:eastAsia="仿宋_GB2312" w:hAnsi="Calibri" w:cs="Times New Roman" w:hint="eastAsia"/>
          <w:noProof/>
          <w:color w:val="000000" w:themeColor="text1"/>
          <w:sz w:val="32"/>
          <w:szCs w:val="32"/>
        </w:rPr>
        <w:t>②</w:t>
      </w:r>
      <w:r w:rsidRPr="00B14E30">
        <w:rPr>
          <w:rFonts w:ascii="仿宋_GB2312" w:eastAsia="仿宋_GB2312" w:hAnsi="Calibri" w:cs="Times New Roman"/>
          <w:color w:val="000000" w:themeColor="text1"/>
          <w:sz w:val="32"/>
          <w:szCs w:val="32"/>
        </w:rPr>
        <w:fldChar w:fldCharType="end"/>
      </w:r>
      <w:r w:rsidR="001F25F9" w:rsidRPr="00B14E30">
        <w:rPr>
          <w:rFonts w:ascii="仿宋_GB2312" w:eastAsia="仿宋_GB2312" w:hAnsi="Calibri" w:cs="Times New Roman" w:hint="eastAsia"/>
          <w:color w:val="000000" w:themeColor="text1"/>
          <w:sz w:val="32"/>
          <w:szCs w:val="32"/>
        </w:rPr>
        <w:t>分专业</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三年累计未报到人数最多的专业分别为无机非金属材料、机械设计制造及其自动化、电气工程及其自动化和物流管理专业。通过分析发现，未报到人数来源分布有两个特点，第一，省内未报到人数偏多。代表专业：无机非金属材料、电气工程及其自动化。</w:t>
      </w:r>
      <w:r w:rsidRPr="00B14E30">
        <w:rPr>
          <w:rFonts w:ascii="仿宋_GB2312" w:eastAsia="仿宋_GB2312" w:hAnsi="Calibri" w:cs="仿宋_GB2312"/>
          <w:color w:val="000000" w:themeColor="text1"/>
          <w:sz w:val="32"/>
          <w:szCs w:val="32"/>
        </w:rPr>
        <w:t>2013</w:t>
      </w:r>
      <w:r w:rsidRPr="00B14E30">
        <w:rPr>
          <w:rFonts w:ascii="仿宋_GB2312" w:eastAsia="仿宋_GB2312" w:hAnsi="Calibri" w:cs="仿宋_GB2312" w:hint="eastAsia"/>
          <w:color w:val="000000" w:themeColor="text1"/>
          <w:sz w:val="32"/>
          <w:szCs w:val="32"/>
        </w:rPr>
        <w:t>年，无机非金属材料专业未报到的</w:t>
      </w:r>
      <w:r w:rsidRPr="00B14E30">
        <w:rPr>
          <w:rFonts w:ascii="仿宋_GB2312" w:eastAsia="仿宋_GB2312" w:hAnsi="Calibri" w:cs="仿宋_GB2312"/>
          <w:color w:val="000000" w:themeColor="text1"/>
          <w:sz w:val="32"/>
          <w:szCs w:val="32"/>
        </w:rPr>
        <w:t>7</w:t>
      </w:r>
      <w:r w:rsidRPr="00B14E30">
        <w:rPr>
          <w:rFonts w:ascii="仿宋_GB2312" w:eastAsia="仿宋_GB2312" w:hAnsi="Calibri" w:cs="仿宋_GB2312" w:hint="eastAsia"/>
          <w:color w:val="000000" w:themeColor="text1"/>
          <w:sz w:val="32"/>
          <w:szCs w:val="32"/>
        </w:rPr>
        <w:t>人中有</w:t>
      </w:r>
      <w:r w:rsidRPr="00B14E30">
        <w:rPr>
          <w:rFonts w:ascii="仿宋_GB2312" w:eastAsia="仿宋_GB2312" w:hAnsi="Calibri" w:cs="仿宋_GB2312"/>
          <w:color w:val="000000" w:themeColor="text1"/>
          <w:sz w:val="32"/>
          <w:szCs w:val="32"/>
        </w:rPr>
        <w:t>4</w:t>
      </w:r>
      <w:r w:rsidRPr="00B14E30">
        <w:rPr>
          <w:rFonts w:ascii="仿宋_GB2312" w:eastAsia="仿宋_GB2312" w:hAnsi="Calibri" w:cs="仿宋_GB2312" w:hint="eastAsia"/>
          <w:color w:val="000000" w:themeColor="text1"/>
          <w:sz w:val="32"/>
          <w:szCs w:val="32"/>
        </w:rPr>
        <w:t>人来自辽宁。电气工程及其自动化专业三年累计未报到的</w:t>
      </w:r>
      <w:r w:rsidRPr="00B14E30">
        <w:rPr>
          <w:rFonts w:ascii="仿宋_GB2312" w:eastAsia="仿宋_GB2312" w:hAnsi="Calibri" w:cs="仿宋_GB2312"/>
          <w:color w:val="000000" w:themeColor="text1"/>
          <w:sz w:val="32"/>
          <w:szCs w:val="32"/>
        </w:rPr>
        <w:t>7</w:t>
      </w:r>
      <w:r w:rsidRPr="00B14E30">
        <w:rPr>
          <w:rFonts w:ascii="仿宋_GB2312" w:eastAsia="仿宋_GB2312" w:hAnsi="Calibri" w:cs="仿宋_GB2312" w:hint="eastAsia"/>
          <w:color w:val="000000" w:themeColor="text1"/>
          <w:sz w:val="32"/>
          <w:szCs w:val="32"/>
        </w:rPr>
        <w:t>人中有</w:t>
      </w:r>
      <w:r w:rsidRPr="00B14E30">
        <w:rPr>
          <w:rFonts w:ascii="仿宋_GB2312" w:eastAsia="仿宋_GB2312" w:hAnsi="Calibri" w:cs="仿宋_GB2312"/>
          <w:color w:val="000000" w:themeColor="text1"/>
          <w:sz w:val="32"/>
          <w:szCs w:val="32"/>
        </w:rPr>
        <w:t>3</w:t>
      </w:r>
      <w:r w:rsidRPr="00B14E30">
        <w:rPr>
          <w:rFonts w:ascii="仿宋_GB2312" w:eastAsia="仿宋_GB2312" w:hAnsi="Calibri" w:cs="仿宋_GB2312" w:hint="eastAsia"/>
          <w:color w:val="000000" w:themeColor="text1"/>
          <w:sz w:val="32"/>
          <w:szCs w:val="32"/>
        </w:rPr>
        <w:t>人来自辽宁。其原因包括：未报到新生对于录取专业并不认可；高考失利，选择复读及其它个人原因，地域因素影响相对较小。第二，偏远省区未报到几率较大。代表专业：机械设计制造及其自动化。在三年累计未报到的</w:t>
      </w:r>
      <w:r w:rsidRPr="00B14E30">
        <w:rPr>
          <w:rFonts w:ascii="仿宋_GB2312" w:eastAsia="仿宋_GB2312" w:hAnsi="Calibri" w:cs="仿宋_GB2312"/>
          <w:color w:val="000000" w:themeColor="text1"/>
          <w:sz w:val="32"/>
          <w:szCs w:val="32"/>
        </w:rPr>
        <w:t>10</w:t>
      </w:r>
      <w:r w:rsidRPr="00B14E30">
        <w:rPr>
          <w:rFonts w:ascii="仿宋_GB2312" w:eastAsia="仿宋_GB2312" w:hAnsi="Calibri" w:cs="仿宋_GB2312" w:hint="eastAsia"/>
          <w:color w:val="000000" w:themeColor="text1"/>
          <w:sz w:val="32"/>
          <w:szCs w:val="32"/>
        </w:rPr>
        <w:t>人中，仅有</w:t>
      </w:r>
      <w:r w:rsidRPr="00B14E30">
        <w:rPr>
          <w:rFonts w:ascii="仿宋_GB2312" w:eastAsia="仿宋_GB2312" w:hAnsi="Calibri" w:cs="仿宋_GB2312"/>
          <w:color w:val="000000" w:themeColor="text1"/>
          <w:sz w:val="32"/>
          <w:szCs w:val="32"/>
        </w:rPr>
        <w:t>2</w:t>
      </w:r>
      <w:r w:rsidRPr="00B14E30">
        <w:rPr>
          <w:rFonts w:ascii="仿宋_GB2312" w:eastAsia="仿宋_GB2312" w:hAnsi="Calibri" w:cs="仿宋_GB2312" w:hint="eastAsia"/>
          <w:color w:val="000000" w:themeColor="text1"/>
          <w:sz w:val="32"/>
          <w:szCs w:val="32"/>
        </w:rPr>
        <w:t>人来自辽宁，其余来自广西，贵州、甘肃、云南等偏远地区。其原因包括：地域因素，生活习惯，高考失利，选择复读，其它个人原因，专业认可度影响相对较小。</w:t>
      </w:r>
    </w:p>
    <w:p w:rsidR="001F25F9" w:rsidRPr="00B14E30" w:rsidRDefault="001F25F9" w:rsidP="00080A87">
      <w:pPr>
        <w:tabs>
          <w:tab w:val="left" w:pos="7560"/>
        </w:tabs>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Calibri" w:cs="仿宋_GB2312" w:hint="eastAsia"/>
          <w:color w:val="000000" w:themeColor="text1"/>
          <w:sz w:val="32"/>
          <w:szCs w:val="32"/>
        </w:rPr>
        <w:t>值得注意的是，机械设计制造及其自动化作为我院优势专业，三年来未报到人数有</w:t>
      </w:r>
      <w:r w:rsidRPr="00B14E30">
        <w:rPr>
          <w:rFonts w:ascii="仿宋_GB2312" w:eastAsia="仿宋_GB2312" w:hAnsi="Calibri" w:cs="仿宋_GB2312"/>
          <w:color w:val="000000" w:themeColor="text1"/>
          <w:sz w:val="32"/>
          <w:szCs w:val="32"/>
        </w:rPr>
        <w:t>10</w:t>
      </w:r>
      <w:r w:rsidRPr="00B14E30">
        <w:rPr>
          <w:rFonts w:ascii="仿宋_GB2312" w:eastAsia="仿宋_GB2312" w:hAnsi="Calibri" w:cs="仿宋_GB2312" w:hint="eastAsia"/>
          <w:color w:val="000000" w:themeColor="text1"/>
          <w:sz w:val="32"/>
          <w:szCs w:val="32"/>
        </w:rPr>
        <w:t>人之多，且省外未报到比例占到</w:t>
      </w:r>
      <w:r w:rsidRPr="00B14E30">
        <w:rPr>
          <w:rFonts w:ascii="仿宋_GB2312" w:eastAsia="仿宋_GB2312" w:hAnsi="Calibri" w:cs="仿宋_GB2312"/>
          <w:color w:val="000000" w:themeColor="text1"/>
          <w:sz w:val="32"/>
          <w:szCs w:val="32"/>
        </w:rPr>
        <w:t>80%</w:t>
      </w:r>
      <w:r w:rsidRPr="00B14E30">
        <w:rPr>
          <w:rFonts w:ascii="仿宋_GB2312" w:eastAsia="仿宋_GB2312" w:hAnsi="Calibri" w:cs="仿宋_GB2312" w:hint="eastAsia"/>
          <w:color w:val="000000" w:themeColor="text1"/>
          <w:sz w:val="32"/>
          <w:szCs w:val="32"/>
        </w:rPr>
        <w:t>，以优势专业吸引偏远地区考生的计划投放策略是否合理值得重新思考。</w:t>
      </w:r>
    </w:p>
    <w:p w:rsidR="001F25F9" w:rsidRPr="00B14E30" w:rsidRDefault="001F25F9" w:rsidP="00080A87">
      <w:pPr>
        <w:tabs>
          <w:tab w:val="left" w:pos="7560"/>
        </w:tabs>
        <w:spacing w:line="560" w:lineRule="exact"/>
        <w:ind w:firstLineChars="200" w:firstLine="640"/>
        <w:rPr>
          <w:rFonts w:ascii="仿宋_GB2312" w:eastAsia="仿宋_GB2312" w:hAnsi="Times New Roman" w:cs="仿宋_GB2312"/>
          <w:color w:val="000000" w:themeColor="text1"/>
          <w:sz w:val="32"/>
          <w:szCs w:val="32"/>
          <w:lang w:val="zh-CN"/>
        </w:rPr>
      </w:pPr>
      <w:r w:rsidRPr="00B14E30">
        <w:rPr>
          <w:rFonts w:ascii="仿宋_GB2312" w:eastAsia="仿宋_GB2312" w:hAnsi="Times New Roman" w:cs="Times New Roman" w:hint="eastAsia"/>
          <w:color w:val="000000" w:themeColor="text1"/>
          <w:sz w:val="32"/>
          <w:szCs w:val="32"/>
        </w:rPr>
        <w:t>2. 2016年分省分专业计划编制分析</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color w:val="000000" w:themeColor="text1"/>
          <w:sz w:val="32"/>
          <w:szCs w:val="32"/>
        </w:rPr>
        <w:lastRenderedPageBreak/>
        <w:t>2015</w:t>
      </w:r>
      <w:r w:rsidRPr="00B14E30">
        <w:rPr>
          <w:rFonts w:ascii="仿宋_GB2312" w:eastAsia="仿宋_GB2312" w:hAnsi="Calibri" w:cs="仿宋_GB2312" w:hint="eastAsia"/>
          <w:color w:val="000000" w:themeColor="text1"/>
          <w:sz w:val="32"/>
          <w:szCs w:val="32"/>
        </w:rPr>
        <w:t>年营口理工学院面向全国</w:t>
      </w:r>
      <w:r w:rsidRPr="00B14E30">
        <w:rPr>
          <w:rFonts w:ascii="仿宋_GB2312" w:eastAsia="仿宋_GB2312" w:hAnsi="Calibri" w:cs="仿宋_GB2312"/>
          <w:color w:val="000000" w:themeColor="text1"/>
          <w:sz w:val="32"/>
          <w:szCs w:val="32"/>
        </w:rPr>
        <w:t>17</w:t>
      </w:r>
      <w:r w:rsidRPr="00B14E30">
        <w:rPr>
          <w:rFonts w:ascii="仿宋_GB2312" w:eastAsia="仿宋_GB2312" w:hAnsi="Calibri" w:cs="仿宋_GB2312" w:hint="eastAsia"/>
          <w:color w:val="000000" w:themeColor="text1"/>
          <w:sz w:val="32"/>
          <w:szCs w:val="32"/>
        </w:rPr>
        <w:t>个省区招生，经过前两年的积累，部分省区已经能为学院输送稳定的优质生源，仅有河南、安徽、甘肃、贵州、四川、湖北、山西七省还处在计划投放的探索阶段，生源潜力还有待挖掘，因此对以上七省的分析就显得尤为重要。</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黑体" w:hint="eastAsia"/>
          <w:color w:val="000000" w:themeColor="text1"/>
          <w:sz w:val="32"/>
          <w:szCs w:val="32"/>
        </w:rPr>
        <w:t>（1）分省区情况分析</w:t>
      </w:r>
    </w:p>
    <w:p w:rsidR="001F25F9" w:rsidRPr="00B14E30" w:rsidRDefault="003E5B9B" w:rsidP="00080A87">
      <w:pPr>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楷体_GB2312"/>
          <w:color w:val="000000" w:themeColor="text1"/>
          <w:sz w:val="32"/>
          <w:szCs w:val="32"/>
        </w:rPr>
        <w:fldChar w:fldCharType="begin"/>
      </w:r>
      <w:r w:rsidR="001F25F9" w:rsidRPr="00B14E30">
        <w:rPr>
          <w:rFonts w:ascii="楷体_GB2312" w:eastAsia="楷体_GB2312" w:hAnsi="黑体" w:cs="楷体_GB2312"/>
          <w:color w:val="000000" w:themeColor="text1"/>
          <w:sz w:val="32"/>
          <w:szCs w:val="32"/>
        </w:rPr>
        <w:instrText xml:space="preserve"> </w:instrText>
      </w:r>
      <w:r w:rsidR="001F25F9" w:rsidRPr="00B14E30">
        <w:rPr>
          <w:rFonts w:ascii="楷体_GB2312" w:eastAsia="楷体_GB2312" w:hAnsi="黑体" w:cs="楷体_GB2312" w:hint="eastAsia"/>
          <w:color w:val="000000" w:themeColor="text1"/>
          <w:sz w:val="32"/>
          <w:szCs w:val="32"/>
        </w:rPr>
        <w:instrText>= 1 \* GB3</w:instrText>
      </w:r>
      <w:r w:rsidR="001F25F9" w:rsidRPr="00B14E30">
        <w:rPr>
          <w:rFonts w:ascii="楷体_GB2312" w:eastAsia="楷体_GB2312" w:hAnsi="黑体" w:cs="楷体_GB2312"/>
          <w:color w:val="000000" w:themeColor="text1"/>
          <w:sz w:val="32"/>
          <w:szCs w:val="32"/>
        </w:rPr>
        <w:instrText xml:space="preserve"> </w:instrText>
      </w:r>
      <w:r w:rsidRPr="00B14E30">
        <w:rPr>
          <w:rFonts w:ascii="楷体_GB2312" w:eastAsia="楷体_GB2312" w:hAnsi="黑体" w:cs="楷体_GB2312"/>
          <w:color w:val="000000" w:themeColor="text1"/>
          <w:sz w:val="32"/>
          <w:szCs w:val="32"/>
        </w:rPr>
        <w:fldChar w:fldCharType="separate"/>
      </w:r>
      <w:r w:rsidR="001F25F9" w:rsidRPr="00B14E30">
        <w:rPr>
          <w:rFonts w:ascii="楷体_GB2312" w:eastAsia="楷体_GB2312" w:hAnsi="黑体" w:cs="楷体_GB2312" w:hint="eastAsia"/>
          <w:noProof/>
          <w:color w:val="000000" w:themeColor="text1"/>
          <w:sz w:val="32"/>
          <w:szCs w:val="32"/>
        </w:rPr>
        <w:t>①</w:t>
      </w:r>
      <w:r w:rsidRPr="00B14E30">
        <w:rPr>
          <w:rFonts w:ascii="楷体_GB2312" w:eastAsia="楷体_GB2312" w:hAnsi="黑体" w:cs="楷体_GB2312"/>
          <w:color w:val="000000" w:themeColor="text1"/>
          <w:sz w:val="32"/>
          <w:szCs w:val="32"/>
        </w:rPr>
        <w:fldChar w:fldCharType="end"/>
      </w:r>
      <w:r w:rsidR="001F25F9" w:rsidRPr="00B14E30">
        <w:rPr>
          <w:rFonts w:ascii="楷体_GB2312" w:eastAsia="楷体_GB2312" w:hAnsi="黑体" w:cs="楷体_GB2312" w:hint="eastAsia"/>
          <w:color w:val="000000" w:themeColor="text1"/>
          <w:sz w:val="32"/>
          <w:szCs w:val="32"/>
        </w:rPr>
        <w:t>七省区基本情况</w:t>
      </w:r>
    </w:p>
    <w:p w:rsidR="001F25F9" w:rsidRPr="00B14E30" w:rsidRDefault="001F25F9" w:rsidP="00080A87">
      <w:pPr>
        <w:spacing w:line="560" w:lineRule="exact"/>
        <w:jc w:val="center"/>
        <w:rPr>
          <w:rFonts w:ascii="仿宋_GB2312" w:eastAsia="仿宋_GB2312" w:hAnsi="黑体" w:cs="Times New Roman"/>
          <w:color w:val="000000" w:themeColor="text1"/>
          <w:sz w:val="32"/>
          <w:szCs w:val="32"/>
        </w:rPr>
      </w:pPr>
      <w:r w:rsidRPr="00B14E30">
        <w:rPr>
          <w:rFonts w:ascii="仿宋_GB2312" w:eastAsia="仿宋_GB2312" w:hAnsi="黑体" w:cs="仿宋_GB2312" w:hint="eastAsia"/>
          <w:color w:val="000000" w:themeColor="text1"/>
          <w:sz w:val="32"/>
          <w:szCs w:val="32"/>
        </w:rPr>
        <w:t>表2</w:t>
      </w:r>
      <w:r w:rsidRPr="00B14E30">
        <w:rPr>
          <w:rFonts w:ascii="仿宋_GB2312" w:eastAsia="仿宋_GB2312" w:hAnsi="黑体" w:cs="仿宋_GB2312"/>
          <w:color w:val="000000" w:themeColor="text1"/>
          <w:sz w:val="32"/>
          <w:szCs w:val="32"/>
        </w:rPr>
        <w:t>.1</w:t>
      </w:r>
      <w:r w:rsidRPr="00B14E30">
        <w:rPr>
          <w:rFonts w:ascii="仿宋_GB2312" w:eastAsia="仿宋_GB2312" w:hAnsi="黑体" w:cs="仿宋_GB2312" w:hint="eastAsia"/>
          <w:color w:val="000000" w:themeColor="text1"/>
          <w:sz w:val="32"/>
          <w:szCs w:val="32"/>
        </w:rPr>
        <w:t>0</w:t>
      </w:r>
      <w:r w:rsidRPr="00B14E30">
        <w:rPr>
          <w:rFonts w:ascii="仿宋_GB2312" w:eastAsia="仿宋_GB2312" w:hAnsi="黑体" w:cs="仿宋_GB2312"/>
          <w:color w:val="000000" w:themeColor="text1"/>
          <w:sz w:val="32"/>
          <w:szCs w:val="32"/>
        </w:rPr>
        <w:t xml:space="preserve"> </w:t>
      </w:r>
      <w:r w:rsidRPr="00B14E30">
        <w:rPr>
          <w:rFonts w:ascii="仿宋_GB2312" w:eastAsia="仿宋_GB2312" w:hAnsi="黑体" w:cs="仿宋_GB2312" w:hint="eastAsia"/>
          <w:color w:val="000000" w:themeColor="text1"/>
          <w:sz w:val="32"/>
          <w:szCs w:val="32"/>
        </w:rPr>
        <w:t>七省区基本情况表</w:t>
      </w:r>
    </w:p>
    <w:tbl>
      <w:tblPr>
        <w:tblW w:w="86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080"/>
        <w:gridCol w:w="1080"/>
        <w:gridCol w:w="1080"/>
        <w:gridCol w:w="1080"/>
        <w:gridCol w:w="1080"/>
        <w:gridCol w:w="1080"/>
        <w:gridCol w:w="1080"/>
        <w:gridCol w:w="1080"/>
      </w:tblGrid>
      <w:tr w:rsidR="00B14E30" w:rsidRPr="00B14E30" w:rsidTr="00CE6A93">
        <w:trPr>
          <w:trHeight w:val="966"/>
          <w:jc w:val="center"/>
        </w:trPr>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省区</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统计年份</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常住人口</w:t>
            </w:r>
          </w:p>
          <w:p w:rsidR="001F25F9" w:rsidRPr="00B14E30" w:rsidRDefault="001F25F9" w:rsidP="001F25F9">
            <w:pPr>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（万人）</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生产总值</w:t>
            </w:r>
          </w:p>
          <w:p w:rsidR="001F25F9" w:rsidRPr="00B14E30" w:rsidRDefault="001F25F9" w:rsidP="001F25F9">
            <w:pPr>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（亿元）</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人均产值</w:t>
            </w:r>
          </w:p>
          <w:p w:rsidR="001F25F9" w:rsidRPr="00B14E30" w:rsidRDefault="001F25F9" w:rsidP="001F25F9">
            <w:pPr>
              <w:jc w:val="center"/>
              <w:rPr>
                <w:rFonts w:ascii="仿宋_GB2312" w:eastAsia="仿宋_GB2312" w:hAnsi="宋体" w:cs="仿宋_GB2312"/>
                <w:b/>
                <w:color w:val="000000" w:themeColor="text1"/>
                <w:kern w:val="0"/>
                <w:szCs w:val="21"/>
              </w:rPr>
            </w:pPr>
            <w:r w:rsidRPr="00B14E30">
              <w:rPr>
                <w:rFonts w:ascii="仿宋_GB2312" w:eastAsia="仿宋_GB2312" w:hAnsi="宋体" w:cs="仿宋_GB2312"/>
                <w:b/>
                <w:color w:val="000000" w:themeColor="text1"/>
                <w:kern w:val="0"/>
                <w:szCs w:val="21"/>
              </w:rPr>
              <w:t>(</w:t>
            </w:r>
            <w:r w:rsidRPr="00B14E30">
              <w:rPr>
                <w:rFonts w:ascii="仿宋_GB2312" w:eastAsia="仿宋_GB2312" w:hAnsi="宋体" w:cs="仿宋_GB2312" w:hint="eastAsia"/>
                <w:b/>
                <w:color w:val="000000" w:themeColor="text1"/>
                <w:kern w:val="0"/>
                <w:szCs w:val="21"/>
              </w:rPr>
              <w:t>万元</w:t>
            </w:r>
            <w:r w:rsidRPr="00B14E30">
              <w:rPr>
                <w:rFonts w:ascii="仿宋_GB2312" w:eastAsia="仿宋_GB2312" w:hAnsi="宋体" w:cs="仿宋_GB2312"/>
                <w:b/>
                <w:color w:val="000000" w:themeColor="text1"/>
                <w:kern w:val="0"/>
                <w:szCs w:val="21"/>
              </w:rPr>
              <w:t>)</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财政收入</w:t>
            </w:r>
          </w:p>
          <w:p w:rsidR="001F25F9" w:rsidRPr="00B14E30" w:rsidRDefault="001F25F9" w:rsidP="001F25F9">
            <w:pPr>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（亿元）</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少数民族所占比例</w:t>
            </w:r>
          </w:p>
        </w:tc>
        <w:tc>
          <w:tcPr>
            <w:tcW w:w="1080" w:type="dxa"/>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距辽宁直线距离</w:t>
            </w:r>
          </w:p>
          <w:p w:rsidR="001F25F9" w:rsidRPr="00B14E30" w:rsidRDefault="001F25F9" w:rsidP="001F25F9">
            <w:pPr>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（公里）</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河南省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9436</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34939.4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3.70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4094.8</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1.25%</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1157</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安徽省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6083</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20848.8</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3.43</w:t>
            </w:r>
          </w:p>
        </w:tc>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color w:val="000000" w:themeColor="text1"/>
                <w:kern w:val="0"/>
                <w:szCs w:val="21"/>
              </w:rPr>
              <w:t>3663.0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0.66%</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1240</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甘肃省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2591</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6835.3</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2.64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1234.5</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8.70%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1795</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山西省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3648</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12759.4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3.50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1820.1</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0.35%</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1020</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贵州省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3508</w:t>
            </w:r>
          </w:p>
        </w:tc>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color w:val="000000" w:themeColor="text1"/>
                <w:kern w:val="0"/>
                <w:szCs w:val="21"/>
              </w:rPr>
              <w:t>9251.0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2.64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2132.2</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36.11%</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2270</w:t>
            </w:r>
          </w:p>
        </w:tc>
      </w:tr>
      <w:tr w:rsidR="00B14E30" w:rsidRPr="00B14E30" w:rsidTr="00CE6A93">
        <w:trPr>
          <w:trHeight w:val="285"/>
          <w:jc w:val="center"/>
        </w:trPr>
        <w:tc>
          <w:tcPr>
            <w:tcW w:w="108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四川省</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8140</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28536.7</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3.51</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3058.5</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6.03%</w:t>
            </w:r>
          </w:p>
        </w:tc>
        <w:tc>
          <w:tcPr>
            <w:tcW w:w="108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2137</w:t>
            </w:r>
          </w:p>
        </w:tc>
      </w:tr>
      <w:tr w:rsidR="00B14E30" w:rsidRPr="00B14E30" w:rsidTr="00CE6A93">
        <w:trPr>
          <w:trHeight w:val="285"/>
          <w:jc w:val="center"/>
        </w:trPr>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湖北省</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5816</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color w:val="000000" w:themeColor="text1"/>
                <w:kern w:val="0"/>
                <w:szCs w:val="21"/>
              </w:rPr>
              <w:t>27367.0</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4.71</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4095.8</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4.31%</w:t>
            </w:r>
          </w:p>
        </w:tc>
        <w:tc>
          <w:tcPr>
            <w:tcW w:w="108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1494</w:t>
            </w:r>
          </w:p>
        </w:tc>
      </w:tr>
    </w:tbl>
    <w:p w:rsidR="001F25F9" w:rsidRPr="00B14E30" w:rsidRDefault="001F25F9" w:rsidP="001F25F9">
      <w:pPr>
        <w:ind w:firstLineChars="200" w:firstLine="420"/>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注：</w:t>
      </w:r>
      <w:r w:rsidRPr="00B14E30">
        <w:rPr>
          <w:rFonts w:ascii="仿宋_GB2312" w:eastAsia="仿宋_GB2312" w:hAnsi="Calibri" w:cs="仿宋_GB2312"/>
          <w:color w:val="000000" w:themeColor="text1"/>
          <w:szCs w:val="21"/>
        </w:rPr>
        <w:t>1.</w:t>
      </w:r>
      <w:r w:rsidRPr="00B14E30">
        <w:rPr>
          <w:rFonts w:ascii="Calibri" w:eastAsia="宋体" w:hAnsi="Calibri" w:cs="Calibri"/>
          <w:color w:val="000000" w:themeColor="text1"/>
          <w:szCs w:val="21"/>
        </w:rPr>
        <w:t xml:space="preserve"> </w:t>
      </w:r>
      <w:r w:rsidRPr="00B14E30">
        <w:rPr>
          <w:rFonts w:ascii="仿宋_GB2312" w:eastAsia="仿宋_GB2312" w:hAnsi="Calibri" w:cs="仿宋_GB2312"/>
          <w:color w:val="000000" w:themeColor="text1"/>
          <w:szCs w:val="21"/>
        </w:rPr>
        <w:t>2014</w:t>
      </w:r>
      <w:r w:rsidRPr="00B14E30">
        <w:rPr>
          <w:rFonts w:ascii="仿宋_GB2312" w:eastAsia="仿宋_GB2312" w:hAnsi="Calibri" w:cs="仿宋_GB2312" w:hint="eastAsia"/>
          <w:color w:val="000000" w:themeColor="text1"/>
          <w:szCs w:val="21"/>
        </w:rPr>
        <w:t>年辽宁省生产总值达到</w:t>
      </w:r>
      <w:r w:rsidRPr="00B14E30">
        <w:rPr>
          <w:rFonts w:ascii="仿宋_GB2312" w:eastAsia="仿宋_GB2312" w:hAnsi="Calibri" w:cs="仿宋_GB2312"/>
          <w:color w:val="000000" w:themeColor="text1"/>
          <w:szCs w:val="21"/>
        </w:rPr>
        <w:t>28626.58</w:t>
      </w:r>
      <w:r w:rsidRPr="00B14E30">
        <w:rPr>
          <w:rFonts w:ascii="仿宋_GB2312" w:eastAsia="仿宋_GB2312" w:hAnsi="Calibri" w:cs="仿宋_GB2312" w:hint="eastAsia"/>
          <w:color w:val="000000" w:themeColor="text1"/>
          <w:szCs w:val="21"/>
        </w:rPr>
        <w:t>亿，全省人均产值为</w:t>
      </w:r>
      <w:r w:rsidRPr="00B14E30">
        <w:rPr>
          <w:rFonts w:ascii="仿宋_GB2312" w:eastAsia="仿宋_GB2312" w:hAnsi="Calibri" w:cs="仿宋_GB2312"/>
          <w:color w:val="000000" w:themeColor="text1"/>
          <w:szCs w:val="21"/>
        </w:rPr>
        <w:t>6.52</w:t>
      </w:r>
      <w:r w:rsidRPr="00B14E30">
        <w:rPr>
          <w:rFonts w:ascii="仿宋_GB2312" w:eastAsia="仿宋_GB2312" w:hAnsi="Calibri" w:cs="仿宋_GB2312" w:hint="eastAsia"/>
          <w:color w:val="000000" w:themeColor="text1"/>
          <w:szCs w:val="21"/>
        </w:rPr>
        <w:t>万元。</w:t>
      </w:r>
    </w:p>
    <w:p w:rsidR="001F25F9" w:rsidRPr="00B14E30" w:rsidRDefault="001F25F9" w:rsidP="00080A87">
      <w:pPr>
        <w:ind w:leftChars="403" w:left="846" w:firstLineChars="1" w:firstLine="2"/>
        <w:rPr>
          <w:rFonts w:ascii="仿宋_GB2312" w:eastAsia="仿宋_GB2312" w:hAnsi="Calibri" w:cs="Times New Roman"/>
          <w:color w:val="000000" w:themeColor="text1"/>
          <w:szCs w:val="21"/>
        </w:rPr>
      </w:pPr>
      <w:r w:rsidRPr="00B14E30">
        <w:rPr>
          <w:rFonts w:ascii="仿宋_GB2312" w:eastAsia="仿宋_GB2312" w:hAnsi="Calibri" w:cs="仿宋_GB2312"/>
          <w:color w:val="000000" w:themeColor="text1"/>
          <w:szCs w:val="21"/>
        </w:rPr>
        <w:t>2.</w:t>
      </w:r>
      <w:r w:rsidRPr="00B14E30">
        <w:rPr>
          <w:rFonts w:ascii="仿宋_GB2312" w:eastAsia="仿宋_GB2312" w:hAnsi="Calibri" w:cs="仿宋_GB2312" w:hint="eastAsia"/>
          <w:color w:val="000000" w:themeColor="text1"/>
          <w:szCs w:val="21"/>
        </w:rPr>
        <w:t>各省距辽宁直线距离为省会之间的直线距离。</w:t>
      </w:r>
    </w:p>
    <w:p w:rsidR="001F25F9" w:rsidRPr="00B14E30" w:rsidRDefault="001F25F9" w:rsidP="001F25F9">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值得注意的是，贵州省少数民族占总人口的比重较大，达到了</w:t>
      </w:r>
      <w:r w:rsidRPr="00B14E30">
        <w:rPr>
          <w:rFonts w:ascii="仿宋_GB2312" w:eastAsia="仿宋_GB2312" w:hAnsi="Calibri" w:cs="仿宋_GB2312"/>
          <w:color w:val="000000" w:themeColor="text1"/>
          <w:sz w:val="32"/>
          <w:szCs w:val="32"/>
        </w:rPr>
        <w:t>36.11%</w:t>
      </w:r>
      <w:r w:rsidRPr="00B14E30">
        <w:rPr>
          <w:rFonts w:ascii="仿宋_GB2312" w:eastAsia="仿宋_GB2312" w:hAnsi="Calibri" w:cs="仿宋_GB2312" w:hint="eastAsia"/>
          <w:color w:val="000000" w:themeColor="text1"/>
          <w:sz w:val="32"/>
          <w:szCs w:val="32"/>
        </w:rPr>
        <w:t>，从我院</w:t>
      </w:r>
      <w:r w:rsidRPr="00B14E30">
        <w:rPr>
          <w:rFonts w:ascii="仿宋_GB2312" w:eastAsia="仿宋_GB2312" w:hAnsi="Calibri" w:cs="仿宋_GB2312"/>
          <w:color w:val="000000" w:themeColor="text1"/>
          <w:sz w:val="32"/>
          <w:szCs w:val="32"/>
        </w:rPr>
        <w:t>2015</w:t>
      </w:r>
      <w:r w:rsidRPr="00B14E30">
        <w:rPr>
          <w:rFonts w:ascii="仿宋_GB2312" w:eastAsia="仿宋_GB2312" w:hAnsi="Calibri" w:cs="仿宋_GB2312" w:hint="eastAsia"/>
          <w:color w:val="000000" w:themeColor="text1"/>
          <w:sz w:val="32"/>
          <w:szCs w:val="32"/>
        </w:rPr>
        <w:t>年录取情况来看，</w:t>
      </w:r>
      <w:r w:rsidRPr="00B14E30">
        <w:rPr>
          <w:rFonts w:ascii="仿宋_GB2312" w:eastAsia="仿宋_GB2312" w:hAnsi="Calibri" w:cs="仿宋_GB2312"/>
          <w:color w:val="000000" w:themeColor="text1"/>
          <w:sz w:val="32"/>
          <w:szCs w:val="32"/>
        </w:rPr>
        <w:t>2015</w:t>
      </w:r>
      <w:r w:rsidRPr="00B14E30">
        <w:rPr>
          <w:rFonts w:ascii="仿宋_GB2312" w:eastAsia="仿宋_GB2312" w:hAnsi="Calibri" w:cs="仿宋_GB2312" w:hint="eastAsia"/>
          <w:color w:val="000000" w:themeColor="text1"/>
          <w:sz w:val="32"/>
          <w:szCs w:val="32"/>
        </w:rPr>
        <w:t>级新生共来自</w:t>
      </w:r>
      <w:r w:rsidRPr="00B14E30">
        <w:rPr>
          <w:rFonts w:ascii="仿宋_GB2312" w:eastAsia="仿宋_GB2312" w:hAnsi="Calibri" w:cs="仿宋_GB2312"/>
          <w:color w:val="000000" w:themeColor="text1"/>
          <w:sz w:val="32"/>
          <w:szCs w:val="32"/>
        </w:rPr>
        <w:t>10</w:t>
      </w:r>
      <w:r w:rsidRPr="00B14E30">
        <w:rPr>
          <w:rFonts w:ascii="仿宋_GB2312" w:eastAsia="仿宋_GB2312" w:hAnsi="Calibri" w:cs="仿宋_GB2312" w:hint="eastAsia"/>
          <w:color w:val="000000" w:themeColor="text1"/>
          <w:sz w:val="32"/>
          <w:szCs w:val="32"/>
        </w:rPr>
        <w:t>个民族，其中贵州省占据</w:t>
      </w:r>
      <w:r w:rsidRPr="00B14E30">
        <w:rPr>
          <w:rFonts w:ascii="仿宋_GB2312" w:eastAsia="仿宋_GB2312" w:hAnsi="Calibri" w:cs="仿宋_GB2312"/>
          <w:color w:val="000000" w:themeColor="text1"/>
          <w:sz w:val="32"/>
          <w:szCs w:val="32"/>
        </w:rPr>
        <w:t>4</w:t>
      </w:r>
      <w:r w:rsidRPr="00B14E30">
        <w:rPr>
          <w:rFonts w:ascii="仿宋_GB2312" w:eastAsia="仿宋_GB2312" w:hAnsi="Calibri" w:cs="仿宋_GB2312" w:hint="eastAsia"/>
          <w:color w:val="000000" w:themeColor="text1"/>
          <w:sz w:val="32"/>
          <w:szCs w:val="32"/>
        </w:rPr>
        <w:t>个。</w:t>
      </w:r>
    </w:p>
    <w:p w:rsidR="001F25F9" w:rsidRPr="00B14E30" w:rsidRDefault="001F25F9" w:rsidP="001F25F9">
      <w:pPr>
        <w:spacing w:line="560" w:lineRule="exact"/>
        <w:ind w:firstLineChars="200" w:firstLine="640"/>
        <w:rPr>
          <w:rFonts w:ascii="仿宋_GB2312" w:eastAsia="仿宋_GB2312" w:hAnsi="Calibri" w:cs="Times New Roman"/>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从经济发展情况来看，七省区人均产值均落后于辽宁省，这表明辽宁省的经济发展程度在这些省区中具有一定的优势。在地理位置上，七省均为中部的内陆地区，作为沿海开发开放城市的营口，具有较强的吸引力。在交通便利程度上看，具备海陆空立</w:t>
      </w:r>
      <w:r w:rsidRPr="00B14E30">
        <w:rPr>
          <w:rFonts w:ascii="仿宋_GB2312" w:eastAsia="仿宋_GB2312" w:hAnsi="Calibri" w:cs="仿宋_GB2312" w:hint="eastAsia"/>
          <w:color w:val="000000" w:themeColor="text1"/>
          <w:kern w:val="0"/>
          <w:sz w:val="32"/>
          <w:szCs w:val="32"/>
          <w:lang w:val="zh-CN"/>
        </w:rPr>
        <w:lastRenderedPageBreak/>
        <w:t>体交通网络体系的营口市具有较强优势，尤其今年营口兰旗机场的正式通航，为中部、南部地区甚至偏远地区的考生来营口求学提供了便利。</w:t>
      </w:r>
    </w:p>
    <w:p w:rsidR="001F25F9" w:rsidRPr="00B14E30" w:rsidRDefault="001F25F9" w:rsidP="001F25F9">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表2</w:t>
      </w:r>
      <w:r w:rsidRPr="00B14E30">
        <w:rPr>
          <w:rFonts w:ascii="仿宋_GB2312" w:eastAsia="仿宋_GB2312" w:hAnsi="Calibri" w:cs="仿宋_GB2312"/>
          <w:color w:val="000000" w:themeColor="text1"/>
          <w:sz w:val="32"/>
          <w:szCs w:val="32"/>
        </w:rPr>
        <w:t>.</w:t>
      </w:r>
      <w:r w:rsidRPr="00B14E30">
        <w:rPr>
          <w:rFonts w:ascii="仿宋_GB2312" w:eastAsia="仿宋_GB2312" w:hAnsi="Calibri" w:cs="仿宋_GB2312" w:hint="eastAsia"/>
          <w:color w:val="000000" w:themeColor="text1"/>
          <w:sz w:val="32"/>
          <w:szCs w:val="32"/>
        </w:rPr>
        <w:t>11</w:t>
      </w:r>
      <w:r w:rsidRPr="00B14E30">
        <w:rPr>
          <w:rFonts w:ascii="仿宋_GB2312" w:eastAsia="仿宋_GB2312" w:hAnsi="Calibri" w:cs="仿宋_GB2312"/>
          <w:color w:val="000000" w:themeColor="text1"/>
          <w:sz w:val="32"/>
          <w:szCs w:val="32"/>
        </w:rPr>
        <w:t xml:space="preserve"> </w:t>
      </w:r>
      <w:r w:rsidRPr="00B14E30">
        <w:rPr>
          <w:rFonts w:ascii="仿宋_GB2312" w:eastAsia="仿宋_GB2312" w:hAnsi="Calibri" w:cs="仿宋_GB2312" w:hint="eastAsia"/>
          <w:color w:val="000000" w:themeColor="text1"/>
          <w:sz w:val="32"/>
          <w:szCs w:val="32"/>
        </w:rPr>
        <w:t>七省区支柱产业情况表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992"/>
        <w:gridCol w:w="7410"/>
      </w:tblGrid>
      <w:tr w:rsidR="00B14E30" w:rsidRPr="00B14E30" w:rsidTr="00CE6A93">
        <w:trPr>
          <w:trHeight w:val="397"/>
          <w:jc w:val="center"/>
        </w:trPr>
        <w:tc>
          <w:tcPr>
            <w:tcW w:w="992" w:type="dxa"/>
            <w:tcBorders>
              <w:top w:val="single" w:sz="12" w:space="0" w:color="auto"/>
            </w:tcBorders>
            <w:vAlign w:val="center"/>
          </w:tcPr>
          <w:p w:rsidR="001F25F9" w:rsidRPr="00B14E30" w:rsidRDefault="001F25F9" w:rsidP="001F25F9">
            <w:pPr>
              <w:jc w:val="center"/>
              <w:rPr>
                <w:rFonts w:ascii="仿宋_GB2312" w:eastAsia="仿宋_GB2312" w:hAnsi="Calibri" w:cs="Times New Roman"/>
                <w:b/>
                <w:bCs/>
                <w:color w:val="000000" w:themeColor="text1"/>
                <w:szCs w:val="21"/>
              </w:rPr>
            </w:pPr>
            <w:r w:rsidRPr="00B14E30">
              <w:rPr>
                <w:rFonts w:ascii="仿宋_GB2312" w:eastAsia="仿宋_GB2312" w:hAnsi="Calibri" w:cs="仿宋_GB2312" w:hint="eastAsia"/>
                <w:b/>
                <w:bCs/>
                <w:color w:val="000000" w:themeColor="text1"/>
                <w:szCs w:val="21"/>
              </w:rPr>
              <w:t>省区</w:t>
            </w:r>
          </w:p>
        </w:tc>
        <w:tc>
          <w:tcPr>
            <w:tcW w:w="7410" w:type="dxa"/>
            <w:tcBorders>
              <w:top w:val="single" w:sz="12" w:space="0" w:color="auto"/>
            </w:tcBorders>
            <w:vAlign w:val="center"/>
          </w:tcPr>
          <w:p w:rsidR="001F25F9" w:rsidRPr="00B14E30" w:rsidRDefault="001F25F9" w:rsidP="001F25F9">
            <w:pPr>
              <w:jc w:val="center"/>
              <w:rPr>
                <w:rFonts w:ascii="仿宋_GB2312" w:eastAsia="仿宋_GB2312" w:hAnsi="Calibri" w:cs="Times New Roman"/>
                <w:b/>
                <w:bCs/>
                <w:color w:val="000000" w:themeColor="text1"/>
                <w:szCs w:val="21"/>
              </w:rPr>
            </w:pPr>
            <w:r w:rsidRPr="00B14E30">
              <w:rPr>
                <w:rFonts w:ascii="仿宋_GB2312" w:eastAsia="仿宋_GB2312" w:hAnsi="Calibri" w:cs="仿宋_GB2312" w:hint="eastAsia"/>
                <w:b/>
                <w:bCs/>
                <w:color w:val="000000" w:themeColor="text1"/>
                <w:szCs w:val="21"/>
              </w:rPr>
              <w:t>支柱产业</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河南省</w:t>
            </w:r>
          </w:p>
        </w:tc>
        <w:tc>
          <w:tcPr>
            <w:tcW w:w="7410" w:type="dxa"/>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食品、有色、化工、汽车及零部件、装备制造、纺织服装等。</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安徽省</w:t>
            </w:r>
          </w:p>
        </w:tc>
        <w:tc>
          <w:tcPr>
            <w:tcW w:w="7410" w:type="dxa"/>
            <w:vAlign w:val="center"/>
          </w:tcPr>
          <w:p w:rsidR="001F25F9" w:rsidRPr="00B14E30" w:rsidRDefault="001F25F9" w:rsidP="001F25F9">
            <w:pPr>
              <w:rPr>
                <w:rFonts w:ascii="仿宋_GB2312" w:eastAsia="仿宋_GB2312" w:hAnsi="Calibri" w:cs="仿宋_GB2312"/>
                <w:color w:val="000000" w:themeColor="text1"/>
                <w:szCs w:val="21"/>
              </w:rPr>
            </w:pPr>
            <w:r w:rsidRPr="00B14E30">
              <w:rPr>
                <w:rFonts w:ascii="仿宋_GB2312" w:eastAsia="仿宋_GB2312" w:hAnsi="Calibri" w:cs="仿宋_GB2312" w:hint="eastAsia"/>
                <w:color w:val="000000" w:themeColor="text1"/>
                <w:szCs w:val="21"/>
              </w:rPr>
              <w:t>煤炭工业，电力工业，石油化工，冶金工业，机械工业，电子工业，</w:t>
            </w:r>
            <w:r w:rsidRPr="00B14E30">
              <w:rPr>
                <w:rFonts w:ascii="仿宋_GB2312" w:eastAsia="仿宋_GB2312" w:hAnsi="Calibri" w:cs="仿宋_GB2312"/>
                <w:color w:val="000000" w:themeColor="text1"/>
                <w:szCs w:val="21"/>
              </w:rPr>
              <w:t xml:space="preserve"> </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甘肃省</w:t>
            </w:r>
          </w:p>
        </w:tc>
        <w:tc>
          <w:tcPr>
            <w:tcW w:w="7410" w:type="dxa"/>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石化、有色、电力、冶金、食品、煤炭和装备制造业等</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山西省</w:t>
            </w:r>
          </w:p>
        </w:tc>
        <w:tc>
          <w:tcPr>
            <w:tcW w:w="7410" w:type="dxa"/>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煤炭、原材料工业、机械工业、建筑业、交通运输业</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贵州省</w:t>
            </w:r>
          </w:p>
        </w:tc>
        <w:tc>
          <w:tcPr>
            <w:tcW w:w="7410" w:type="dxa"/>
            <w:vAlign w:val="center"/>
          </w:tcPr>
          <w:p w:rsidR="001F25F9" w:rsidRPr="00B14E30" w:rsidRDefault="001F25F9" w:rsidP="001F25F9">
            <w:pPr>
              <w:rPr>
                <w:rFonts w:ascii="仿宋_GB2312" w:eastAsia="仿宋_GB2312" w:hAnsi="Calibri" w:cs="仿宋_GB2312"/>
                <w:color w:val="000000" w:themeColor="text1"/>
                <w:szCs w:val="21"/>
              </w:rPr>
            </w:pPr>
            <w:r w:rsidRPr="00B14E30">
              <w:rPr>
                <w:rFonts w:ascii="仿宋_GB2312" w:eastAsia="仿宋_GB2312" w:hAnsi="Calibri" w:cs="仿宋_GB2312" w:hint="eastAsia"/>
                <w:color w:val="000000" w:themeColor="text1"/>
                <w:szCs w:val="21"/>
              </w:rPr>
              <w:t>酒、饮料和茶制造业，煤炭开采业，电力、热力生产业、非金属矿物制品业，</w:t>
            </w:r>
            <w:r w:rsidRPr="00B14E30">
              <w:rPr>
                <w:rFonts w:ascii="仿宋_GB2312" w:eastAsia="仿宋_GB2312" w:hAnsi="Calibri" w:cs="仿宋_GB2312"/>
                <w:color w:val="000000" w:themeColor="text1"/>
                <w:szCs w:val="21"/>
              </w:rPr>
              <w:t xml:space="preserve"> </w:t>
            </w:r>
          </w:p>
        </w:tc>
      </w:tr>
      <w:tr w:rsidR="00B14E30" w:rsidRPr="00B14E30" w:rsidTr="00CE6A93">
        <w:trPr>
          <w:trHeight w:val="397"/>
          <w:jc w:val="center"/>
        </w:trPr>
        <w:tc>
          <w:tcPr>
            <w:tcW w:w="992"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四川省</w:t>
            </w:r>
          </w:p>
        </w:tc>
        <w:tc>
          <w:tcPr>
            <w:tcW w:w="7410" w:type="dxa"/>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机械、电子、冶金、化工、航空航天、核工业</w:t>
            </w:r>
          </w:p>
        </w:tc>
      </w:tr>
      <w:tr w:rsidR="00B14E30" w:rsidRPr="00B14E30" w:rsidTr="00CE6A93">
        <w:trPr>
          <w:trHeight w:val="397"/>
          <w:jc w:val="center"/>
        </w:trPr>
        <w:tc>
          <w:tcPr>
            <w:tcW w:w="992"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湖北省</w:t>
            </w:r>
          </w:p>
        </w:tc>
        <w:tc>
          <w:tcPr>
            <w:tcW w:w="7410" w:type="dxa"/>
            <w:tcBorders>
              <w:bottom w:val="single" w:sz="12" w:space="0" w:color="auto"/>
            </w:tcBorders>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汽车、钢铁、石化、食品、电子信息、电力、纺织、装备制造等产业</w:t>
            </w:r>
          </w:p>
        </w:tc>
      </w:tr>
    </w:tbl>
    <w:p w:rsidR="001F25F9" w:rsidRPr="00B14E30" w:rsidRDefault="003E5B9B" w:rsidP="00080A87">
      <w:pPr>
        <w:spacing w:line="560" w:lineRule="exact"/>
        <w:ind w:firstLineChars="200" w:firstLine="640"/>
        <w:rPr>
          <w:rFonts w:ascii="仿宋_GB2312" w:eastAsia="仿宋_GB2312" w:hAnsi="Calibri" w:cs="Times New Roman"/>
          <w:color w:val="000000" w:themeColor="text1"/>
          <w:kern w:val="0"/>
          <w:sz w:val="32"/>
          <w:szCs w:val="32"/>
          <w:lang w:val="zh-CN"/>
        </w:rPr>
      </w:pPr>
      <w:r w:rsidRPr="00B14E30">
        <w:rPr>
          <w:rFonts w:ascii="仿宋_GB2312" w:eastAsia="仿宋_GB2312" w:hAnsi="Calibri" w:cs="楷体_GB2312" w:hint="eastAsia"/>
          <w:color w:val="000000" w:themeColor="text1"/>
          <w:kern w:val="0"/>
          <w:sz w:val="32"/>
          <w:szCs w:val="32"/>
          <w:lang w:val="zh-CN"/>
        </w:rPr>
        <w:fldChar w:fldCharType="begin"/>
      </w:r>
      <w:r w:rsidR="001F25F9" w:rsidRPr="00B14E30">
        <w:rPr>
          <w:rFonts w:ascii="仿宋_GB2312" w:eastAsia="仿宋_GB2312" w:hAnsi="Calibri" w:cs="楷体_GB2312" w:hint="eastAsia"/>
          <w:color w:val="000000" w:themeColor="text1"/>
          <w:kern w:val="0"/>
          <w:sz w:val="32"/>
          <w:szCs w:val="32"/>
          <w:lang w:val="zh-CN"/>
        </w:rPr>
        <w:instrText xml:space="preserve"> = 2 \* GB3 </w:instrText>
      </w:r>
      <w:r w:rsidRPr="00B14E30">
        <w:rPr>
          <w:rFonts w:ascii="仿宋_GB2312" w:eastAsia="仿宋_GB2312" w:hAnsi="Calibri" w:cs="楷体_GB2312" w:hint="eastAsia"/>
          <w:color w:val="000000" w:themeColor="text1"/>
          <w:kern w:val="0"/>
          <w:sz w:val="32"/>
          <w:szCs w:val="32"/>
          <w:lang w:val="zh-CN"/>
        </w:rPr>
        <w:fldChar w:fldCharType="separate"/>
      </w:r>
      <w:r w:rsidR="001F25F9" w:rsidRPr="00B14E30">
        <w:rPr>
          <w:rFonts w:ascii="仿宋_GB2312" w:eastAsia="仿宋_GB2312" w:hAnsi="Calibri" w:cs="楷体_GB2312" w:hint="eastAsia"/>
          <w:noProof/>
          <w:color w:val="000000" w:themeColor="text1"/>
          <w:kern w:val="0"/>
          <w:sz w:val="32"/>
          <w:szCs w:val="32"/>
          <w:lang w:val="zh-CN"/>
        </w:rPr>
        <w:t>②</w:t>
      </w:r>
      <w:r w:rsidRPr="00B14E30">
        <w:rPr>
          <w:rFonts w:ascii="仿宋_GB2312" w:eastAsia="仿宋_GB2312" w:hAnsi="Calibri" w:cs="楷体_GB2312" w:hint="eastAsia"/>
          <w:color w:val="000000" w:themeColor="text1"/>
          <w:kern w:val="0"/>
          <w:sz w:val="32"/>
          <w:szCs w:val="32"/>
          <w:lang w:val="zh-CN"/>
        </w:rPr>
        <w:fldChar w:fldCharType="end"/>
      </w:r>
      <w:r w:rsidR="001F25F9" w:rsidRPr="00B14E30">
        <w:rPr>
          <w:rFonts w:ascii="仿宋_GB2312" w:eastAsia="仿宋_GB2312" w:hAnsi="Calibri" w:cs="楷体_GB2312" w:hint="eastAsia"/>
          <w:color w:val="000000" w:themeColor="text1"/>
          <w:kern w:val="0"/>
          <w:sz w:val="32"/>
          <w:szCs w:val="32"/>
          <w:lang w:val="zh-CN"/>
        </w:rPr>
        <w:t>七省区生源情况分析</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因我院2013、2014年仅在七省中部分省区投放计划，2013、2014年数据并不完整，因此生源质量分析仅以2015年数据作为分析样本。</w:t>
      </w:r>
    </w:p>
    <w:p w:rsidR="001F25F9" w:rsidRPr="00B14E30" w:rsidRDefault="001F25F9" w:rsidP="00080A87">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表2.12 2015七省区二本分数线</w:t>
      </w:r>
    </w:p>
    <w:tbl>
      <w:tblPr>
        <w:tblW w:w="7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891"/>
        <w:gridCol w:w="964"/>
        <w:gridCol w:w="1159"/>
        <w:gridCol w:w="1090"/>
        <w:gridCol w:w="2275"/>
      </w:tblGrid>
      <w:tr w:rsidR="00B14E30" w:rsidRPr="00B14E30" w:rsidTr="00CE6A93">
        <w:trPr>
          <w:trHeight w:val="382"/>
          <w:jc w:val="center"/>
        </w:trPr>
        <w:tc>
          <w:tcPr>
            <w:tcW w:w="1891"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省区</w:t>
            </w:r>
          </w:p>
        </w:tc>
        <w:tc>
          <w:tcPr>
            <w:tcW w:w="964"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总分</w:t>
            </w:r>
          </w:p>
        </w:tc>
        <w:tc>
          <w:tcPr>
            <w:tcW w:w="2249" w:type="dxa"/>
            <w:gridSpan w:val="2"/>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二批录取线</w:t>
            </w:r>
          </w:p>
        </w:tc>
        <w:tc>
          <w:tcPr>
            <w:tcW w:w="2275" w:type="dxa"/>
            <w:vMerge w:val="restart"/>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高考试卷类型</w:t>
            </w:r>
          </w:p>
        </w:tc>
      </w:tr>
      <w:tr w:rsidR="00B14E30" w:rsidRPr="00B14E30" w:rsidTr="00CE6A93">
        <w:trPr>
          <w:trHeight w:val="382"/>
          <w:jc w:val="center"/>
        </w:trPr>
        <w:tc>
          <w:tcPr>
            <w:tcW w:w="189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p>
        </w:tc>
        <w:tc>
          <w:tcPr>
            <w:tcW w:w="964"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p>
        </w:tc>
        <w:tc>
          <w:tcPr>
            <w:tcW w:w="1159" w:type="dxa"/>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文科</w:t>
            </w:r>
          </w:p>
        </w:tc>
        <w:tc>
          <w:tcPr>
            <w:tcW w:w="1090" w:type="dxa"/>
            <w:noWrap/>
            <w:vAlign w:val="center"/>
          </w:tcPr>
          <w:p w:rsidR="001F25F9" w:rsidRPr="00B14E30" w:rsidRDefault="001F25F9" w:rsidP="001F25F9">
            <w:pPr>
              <w:widowControl/>
              <w:jc w:val="center"/>
              <w:rPr>
                <w:rFonts w:ascii="仿宋_GB2312" w:eastAsia="仿宋_GB2312" w:hAnsi="宋体" w:cs="Times New Roman"/>
                <w:b/>
                <w:color w:val="000000" w:themeColor="text1"/>
                <w:kern w:val="0"/>
                <w:sz w:val="24"/>
                <w:szCs w:val="24"/>
              </w:rPr>
            </w:pPr>
            <w:r w:rsidRPr="00B14E30">
              <w:rPr>
                <w:rFonts w:ascii="仿宋_GB2312" w:eastAsia="仿宋_GB2312" w:hAnsi="宋体" w:cs="仿宋_GB2312" w:hint="eastAsia"/>
                <w:b/>
                <w:color w:val="000000" w:themeColor="text1"/>
                <w:kern w:val="0"/>
                <w:sz w:val="24"/>
                <w:szCs w:val="24"/>
              </w:rPr>
              <w:t>理科</w:t>
            </w:r>
          </w:p>
        </w:tc>
        <w:tc>
          <w:tcPr>
            <w:tcW w:w="227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河南</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color w:val="000000" w:themeColor="text1"/>
                <w:kern w:val="0"/>
                <w:sz w:val="24"/>
                <w:szCs w:val="24"/>
              </w:rPr>
              <w:t>455</w:t>
            </w:r>
          </w:p>
        </w:tc>
        <w:tc>
          <w:tcPr>
            <w:tcW w:w="1090"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color w:val="000000" w:themeColor="text1"/>
                <w:kern w:val="0"/>
                <w:sz w:val="24"/>
                <w:szCs w:val="24"/>
              </w:rPr>
              <w:t>458</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新课标全国Ⅰ卷</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山西</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462</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442</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新课标全国Ⅰ卷</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甘肃</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465</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417</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新课标全国Ⅱ卷</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贵州</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472</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372</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新课标全国Ⅱ卷</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安徽</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558</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511</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自主命题</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四川</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473</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445</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自主命题</w:t>
            </w:r>
          </w:p>
        </w:tc>
      </w:tr>
      <w:tr w:rsidR="00B14E30" w:rsidRPr="00B14E30" w:rsidTr="00CE6A93">
        <w:trPr>
          <w:trHeight w:val="382"/>
          <w:jc w:val="center"/>
        </w:trPr>
        <w:tc>
          <w:tcPr>
            <w:tcW w:w="1891"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湖北</w:t>
            </w:r>
          </w:p>
        </w:tc>
        <w:tc>
          <w:tcPr>
            <w:tcW w:w="964"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477</w:t>
            </w:r>
          </w:p>
        </w:tc>
        <w:tc>
          <w:tcPr>
            <w:tcW w:w="1090"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448</w:t>
            </w:r>
          </w:p>
        </w:tc>
        <w:tc>
          <w:tcPr>
            <w:tcW w:w="2275" w:type="dxa"/>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自主命题</w:t>
            </w:r>
          </w:p>
        </w:tc>
      </w:tr>
      <w:tr w:rsidR="00B14E30" w:rsidRPr="00B14E30" w:rsidTr="00CE6A93">
        <w:trPr>
          <w:trHeight w:val="382"/>
          <w:jc w:val="center"/>
        </w:trPr>
        <w:tc>
          <w:tcPr>
            <w:tcW w:w="1891"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辽宁</w:t>
            </w:r>
          </w:p>
        </w:tc>
        <w:tc>
          <w:tcPr>
            <w:tcW w:w="964"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750</w:t>
            </w:r>
          </w:p>
        </w:tc>
        <w:tc>
          <w:tcPr>
            <w:tcW w:w="1159"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460</w:t>
            </w:r>
          </w:p>
        </w:tc>
        <w:tc>
          <w:tcPr>
            <w:tcW w:w="1090"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 w:val="24"/>
                <w:szCs w:val="24"/>
              </w:rPr>
            </w:pPr>
            <w:r w:rsidRPr="00B14E30">
              <w:rPr>
                <w:rFonts w:ascii="仿宋_GB2312" w:eastAsia="仿宋_GB2312" w:hAnsi="宋体" w:cs="仿宋_GB2312"/>
                <w:color w:val="000000" w:themeColor="text1"/>
                <w:kern w:val="0"/>
                <w:sz w:val="24"/>
                <w:szCs w:val="24"/>
              </w:rPr>
              <w:t>419</w:t>
            </w:r>
          </w:p>
        </w:tc>
        <w:tc>
          <w:tcPr>
            <w:tcW w:w="2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 w:val="24"/>
                <w:szCs w:val="24"/>
              </w:rPr>
            </w:pPr>
            <w:r w:rsidRPr="00B14E30">
              <w:rPr>
                <w:rFonts w:ascii="仿宋_GB2312" w:eastAsia="仿宋_GB2312" w:hAnsi="宋体" w:cs="仿宋_GB2312" w:hint="eastAsia"/>
                <w:color w:val="000000" w:themeColor="text1"/>
                <w:kern w:val="0"/>
                <w:sz w:val="24"/>
                <w:szCs w:val="24"/>
              </w:rPr>
              <w:t>新课标全国Ⅱ卷</w:t>
            </w:r>
          </w:p>
        </w:tc>
      </w:tr>
    </w:tbl>
    <w:p w:rsidR="001F25F9" w:rsidRPr="00B14E30" w:rsidRDefault="001F25F9" w:rsidP="001F25F9">
      <w:pPr>
        <w:ind w:firstLineChars="200" w:firstLine="420"/>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注：</w:t>
      </w:r>
      <w:r w:rsidRPr="00B14E30">
        <w:rPr>
          <w:rFonts w:ascii="仿宋_GB2312" w:eastAsia="仿宋_GB2312" w:hAnsi="Calibri" w:cs="仿宋_GB2312"/>
          <w:color w:val="000000" w:themeColor="text1"/>
          <w:szCs w:val="21"/>
        </w:rPr>
        <w:t>1.</w:t>
      </w:r>
      <w:r w:rsidRPr="00B14E30">
        <w:rPr>
          <w:rFonts w:ascii="仿宋_GB2312" w:eastAsia="仿宋_GB2312" w:hAnsi="Calibri" w:cs="仿宋_GB2312" w:hint="eastAsia"/>
          <w:color w:val="000000" w:themeColor="text1"/>
          <w:szCs w:val="21"/>
        </w:rPr>
        <w:t>因我院生源以省内生源为主，故辽宁省二本分数线可作为生源质量参考标准。</w:t>
      </w:r>
    </w:p>
    <w:p w:rsidR="001F25F9" w:rsidRPr="00B14E30" w:rsidRDefault="001F25F9" w:rsidP="001F25F9">
      <w:pPr>
        <w:ind w:firstLineChars="405" w:firstLine="850"/>
        <w:rPr>
          <w:rFonts w:ascii="仿宋_GB2312" w:eastAsia="仿宋_GB2312" w:hAnsi="宋体" w:cs="Times New Roman"/>
          <w:color w:val="000000" w:themeColor="text1"/>
          <w:kern w:val="0"/>
          <w:szCs w:val="21"/>
        </w:rPr>
      </w:pPr>
      <w:r w:rsidRPr="00B14E30">
        <w:rPr>
          <w:rFonts w:ascii="仿宋_GB2312" w:eastAsia="仿宋_GB2312" w:hAnsi="Calibri" w:cs="仿宋_GB2312"/>
          <w:color w:val="000000" w:themeColor="text1"/>
          <w:szCs w:val="21"/>
        </w:rPr>
        <w:lastRenderedPageBreak/>
        <w:t>2.</w:t>
      </w:r>
      <w:r w:rsidRPr="00B14E30">
        <w:rPr>
          <w:rFonts w:ascii="仿宋_GB2312" w:eastAsia="仿宋_GB2312" w:hAnsi="宋体" w:cs="仿宋_GB2312" w:hint="eastAsia"/>
          <w:color w:val="000000" w:themeColor="text1"/>
          <w:kern w:val="0"/>
          <w:szCs w:val="21"/>
        </w:rPr>
        <w:t>新课标全国Ⅰ卷难度高于Ⅱ卷。</w:t>
      </w:r>
    </w:p>
    <w:p w:rsidR="001F25F9" w:rsidRPr="00B14E30" w:rsidRDefault="001F25F9" w:rsidP="001F25F9">
      <w:pPr>
        <w:ind w:firstLineChars="405" w:firstLine="850"/>
        <w:rPr>
          <w:rFonts w:ascii="仿宋_GB2312" w:eastAsia="仿宋_GB2312" w:hAnsi="Calibri" w:cs="Times New Roman"/>
          <w:color w:val="000000" w:themeColor="text1"/>
          <w:szCs w:val="21"/>
        </w:rPr>
      </w:pPr>
      <w:r w:rsidRPr="00B14E30">
        <w:rPr>
          <w:rFonts w:ascii="Times New Roman" w:eastAsia="宋体" w:hAnsi="Times New Roman" w:cs="Times New Roman"/>
          <w:noProof/>
          <w:color w:val="000000" w:themeColor="text1"/>
          <w:szCs w:val="24"/>
        </w:rPr>
        <w:drawing>
          <wp:anchor distT="0" distB="0" distL="114300" distR="114300" simplePos="0" relativeHeight="251660288" behindDoc="1" locked="0" layoutInCell="1" allowOverlap="1">
            <wp:simplePos x="0" y="0"/>
            <wp:positionH relativeFrom="column">
              <wp:align>center</wp:align>
            </wp:positionH>
            <wp:positionV relativeFrom="paragraph">
              <wp:posOffset>294640</wp:posOffset>
            </wp:positionV>
            <wp:extent cx="3842385" cy="2439670"/>
            <wp:effectExtent l="0" t="0" r="571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2385" cy="2439670"/>
                    </a:xfrm>
                    <a:prstGeom prst="rect">
                      <a:avLst/>
                    </a:prstGeom>
                    <a:noFill/>
                    <a:ln>
                      <a:noFill/>
                    </a:ln>
                  </pic:spPr>
                </pic:pic>
              </a:graphicData>
            </a:graphic>
          </wp:anchor>
        </w:drawing>
      </w:r>
      <w:r w:rsidRPr="00B14E30">
        <w:rPr>
          <w:rFonts w:ascii="仿宋_GB2312" w:eastAsia="仿宋_GB2312" w:hAnsi="宋体" w:cs="仿宋_GB2312"/>
          <w:color w:val="000000" w:themeColor="text1"/>
          <w:kern w:val="0"/>
          <w:szCs w:val="21"/>
        </w:rPr>
        <w:t>3.</w:t>
      </w:r>
      <w:r w:rsidRPr="00B14E30">
        <w:rPr>
          <w:rFonts w:ascii="仿宋_GB2312" w:eastAsia="仿宋_GB2312" w:hAnsi="宋体" w:cs="仿宋_GB2312" w:hint="eastAsia"/>
          <w:color w:val="000000" w:themeColor="text1"/>
          <w:kern w:val="0"/>
          <w:szCs w:val="21"/>
        </w:rPr>
        <w:t>因安徽、四川、湖北采用自主命题，分数线或受试题难易影响，不列入参考范围。</w:t>
      </w:r>
    </w:p>
    <w:p w:rsidR="001F25F9" w:rsidRPr="00B14E30" w:rsidRDefault="001F25F9" w:rsidP="001F25F9">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图2</w:t>
      </w:r>
      <w:r w:rsidRPr="00B14E30">
        <w:rPr>
          <w:rFonts w:ascii="仿宋_GB2312" w:eastAsia="仿宋_GB2312" w:hAnsi="Calibri" w:cs="仿宋_GB2312"/>
          <w:color w:val="000000" w:themeColor="text1"/>
          <w:sz w:val="32"/>
          <w:szCs w:val="32"/>
        </w:rPr>
        <w:t>.1</w:t>
      </w:r>
      <w:r w:rsidRPr="00B14E30">
        <w:rPr>
          <w:rFonts w:ascii="仿宋_GB2312" w:eastAsia="仿宋_GB2312" w:hAnsi="Calibri" w:cs="仿宋_GB2312" w:hint="eastAsia"/>
          <w:color w:val="000000" w:themeColor="text1"/>
          <w:sz w:val="32"/>
          <w:szCs w:val="32"/>
        </w:rPr>
        <w:t>1</w:t>
      </w:r>
      <w:r w:rsidRPr="00B14E30">
        <w:rPr>
          <w:rFonts w:ascii="仿宋_GB2312" w:eastAsia="仿宋_GB2312" w:hAnsi="Calibri" w:cs="仿宋_GB2312"/>
          <w:color w:val="000000" w:themeColor="text1"/>
          <w:sz w:val="32"/>
          <w:szCs w:val="32"/>
        </w:rPr>
        <w:t xml:space="preserve"> </w:t>
      </w:r>
      <w:r w:rsidRPr="00B14E30">
        <w:rPr>
          <w:rFonts w:ascii="仿宋_GB2312" w:eastAsia="仿宋_GB2312" w:hAnsi="Calibri" w:cs="仿宋_GB2312" w:hint="eastAsia"/>
          <w:color w:val="000000" w:themeColor="text1"/>
          <w:sz w:val="32"/>
          <w:szCs w:val="32"/>
        </w:rPr>
        <w:t>七省区理科二本分数线</w:t>
      </w:r>
    </w:p>
    <w:p w:rsidR="001F25F9" w:rsidRPr="00B14E30" w:rsidRDefault="001F25F9" w:rsidP="001F25F9">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如图2.11所示，使用难度高的新课标全国Ⅰ卷的河南省、山西省理科二本线分数高于使用难度低的新课标全国Ⅱ卷的甘肃省、贵州省、辽宁省，说明河南、山西生源质量较好，贵州省理科二本线过于偏低，应尽量减少理科在贵州省的投放计划。</w:t>
      </w:r>
    </w:p>
    <w:p w:rsidR="001F25F9" w:rsidRPr="00B14E30" w:rsidRDefault="001F25F9" w:rsidP="001F25F9">
      <w:pPr>
        <w:spacing w:line="560" w:lineRule="exact"/>
        <w:jc w:val="center"/>
        <w:rPr>
          <w:rFonts w:ascii="仿宋_GB2312" w:eastAsia="仿宋_GB2312" w:hAnsi="Calibri" w:cs="Times New Roman"/>
          <w:color w:val="000000" w:themeColor="text1"/>
          <w:sz w:val="32"/>
          <w:szCs w:val="32"/>
        </w:rPr>
      </w:pPr>
      <w:r w:rsidRPr="00B14E30">
        <w:rPr>
          <w:rFonts w:ascii="Times New Roman" w:eastAsia="宋体" w:hAnsi="Times New Roman" w:cs="Times New Roman"/>
          <w:noProof/>
          <w:color w:val="000000" w:themeColor="text1"/>
          <w:szCs w:val="24"/>
        </w:rPr>
        <w:drawing>
          <wp:anchor distT="0" distB="0" distL="114300" distR="114300" simplePos="0" relativeHeight="251659264" behindDoc="0" locked="0" layoutInCell="1" allowOverlap="1">
            <wp:simplePos x="0" y="0"/>
            <wp:positionH relativeFrom="column">
              <wp:posOffset>815975</wp:posOffset>
            </wp:positionH>
            <wp:positionV relativeFrom="paragraph">
              <wp:posOffset>156210</wp:posOffset>
            </wp:positionV>
            <wp:extent cx="4003675" cy="254254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3675" cy="2542540"/>
                    </a:xfrm>
                    <a:prstGeom prst="rect">
                      <a:avLst/>
                    </a:prstGeom>
                    <a:noFill/>
                    <a:ln>
                      <a:noFill/>
                    </a:ln>
                  </pic:spPr>
                </pic:pic>
              </a:graphicData>
            </a:graphic>
          </wp:anchor>
        </w:drawing>
      </w:r>
      <w:r w:rsidRPr="00B14E30">
        <w:rPr>
          <w:rFonts w:ascii="仿宋_GB2312" w:eastAsia="仿宋_GB2312" w:hAnsi="Calibri" w:cs="仿宋_GB2312" w:hint="eastAsia"/>
          <w:color w:val="000000" w:themeColor="text1"/>
          <w:sz w:val="32"/>
          <w:szCs w:val="32"/>
        </w:rPr>
        <w:t>图2</w:t>
      </w:r>
      <w:r w:rsidRPr="00B14E30">
        <w:rPr>
          <w:rFonts w:ascii="仿宋_GB2312" w:eastAsia="仿宋_GB2312" w:hAnsi="Calibri" w:cs="仿宋_GB2312"/>
          <w:color w:val="000000" w:themeColor="text1"/>
          <w:sz w:val="32"/>
          <w:szCs w:val="32"/>
        </w:rPr>
        <w:t>.</w:t>
      </w:r>
      <w:r w:rsidRPr="00B14E30">
        <w:rPr>
          <w:rFonts w:ascii="仿宋_GB2312" w:eastAsia="仿宋_GB2312" w:hAnsi="Calibri" w:cs="仿宋_GB2312" w:hint="eastAsia"/>
          <w:color w:val="000000" w:themeColor="text1"/>
          <w:sz w:val="32"/>
          <w:szCs w:val="32"/>
        </w:rPr>
        <w:t>1</w:t>
      </w:r>
      <w:r w:rsidRPr="00B14E30">
        <w:rPr>
          <w:rFonts w:ascii="仿宋_GB2312" w:eastAsia="仿宋_GB2312" w:hAnsi="Calibri" w:cs="仿宋_GB2312"/>
          <w:color w:val="000000" w:themeColor="text1"/>
          <w:sz w:val="32"/>
          <w:szCs w:val="32"/>
        </w:rPr>
        <w:t xml:space="preserve">2 </w:t>
      </w:r>
      <w:r w:rsidRPr="00B14E30">
        <w:rPr>
          <w:rFonts w:ascii="仿宋_GB2312" w:eastAsia="仿宋_GB2312" w:hAnsi="Calibri" w:cs="仿宋_GB2312" w:hint="eastAsia"/>
          <w:color w:val="000000" w:themeColor="text1"/>
          <w:sz w:val="32"/>
          <w:szCs w:val="32"/>
        </w:rPr>
        <w:t>七省区文科二本分数线</w:t>
      </w:r>
    </w:p>
    <w:p w:rsidR="001F25F9" w:rsidRPr="00B14E30" w:rsidRDefault="001F25F9" w:rsidP="001F25F9">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lastRenderedPageBreak/>
        <w:t>如图2</w:t>
      </w:r>
      <w:r w:rsidRPr="00B14E30">
        <w:rPr>
          <w:rFonts w:ascii="仿宋_GB2312" w:eastAsia="仿宋_GB2312" w:hAnsi="Calibri" w:cs="仿宋_GB2312"/>
          <w:color w:val="000000" w:themeColor="text1"/>
          <w:sz w:val="32"/>
          <w:szCs w:val="32"/>
        </w:rPr>
        <w:t>.</w:t>
      </w:r>
      <w:r w:rsidRPr="00B14E30">
        <w:rPr>
          <w:rFonts w:ascii="仿宋_GB2312" w:eastAsia="仿宋_GB2312" w:hAnsi="Calibri" w:cs="仿宋_GB2312" w:hint="eastAsia"/>
          <w:color w:val="000000" w:themeColor="text1"/>
          <w:sz w:val="32"/>
          <w:szCs w:val="32"/>
        </w:rPr>
        <w:t>1</w:t>
      </w:r>
      <w:r w:rsidRPr="00B14E30">
        <w:rPr>
          <w:rFonts w:ascii="仿宋_GB2312" w:eastAsia="仿宋_GB2312" w:hAnsi="Calibri" w:cs="仿宋_GB2312"/>
          <w:color w:val="000000" w:themeColor="text1"/>
          <w:sz w:val="32"/>
          <w:szCs w:val="32"/>
        </w:rPr>
        <w:t>2</w:t>
      </w:r>
      <w:r w:rsidRPr="00B14E30">
        <w:rPr>
          <w:rFonts w:ascii="仿宋_GB2312" w:eastAsia="仿宋_GB2312" w:hAnsi="Calibri" w:cs="仿宋_GB2312" w:hint="eastAsia"/>
          <w:color w:val="000000" w:themeColor="text1"/>
          <w:sz w:val="32"/>
          <w:szCs w:val="32"/>
        </w:rPr>
        <w:t>所示，使用难度更高的新课标全国Ⅰ卷的山西省和使用新课标全国Ⅱ卷的甘肃省、贵州省文科二本线分数都高于辽宁，说明这三省区文科生源质量优于辽宁省，河南省虽然低于辽宁省</w:t>
      </w:r>
      <w:r w:rsidRPr="00B14E30">
        <w:rPr>
          <w:rFonts w:ascii="仿宋_GB2312" w:eastAsia="仿宋_GB2312" w:hAnsi="Calibri" w:cs="仿宋_GB2312"/>
          <w:color w:val="000000" w:themeColor="text1"/>
          <w:sz w:val="32"/>
          <w:szCs w:val="32"/>
        </w:rPr>
        <w:t>5</w:t>
      </w:r>
      <w:r w:rsidRPr="00B14E30">
        <w:rPr>
          <w:rFonts w:ascii="仿宋_GB2312" w:eastAsia="仿宋_GB2312" w:hAnsi="Calibri" w:cs="仿宋_GB2312" w:hint="eastAsia"/>
          <w:color w:val="000000" w:themeColor="text1"/>
          <w:sz w:val="32"/>
          <w:szCs w:val="32"/>
        </w:rPr>
        <w:t>分，但考虑到河南省高考试题难度更大，生源质量应十分接近，总体来说，这四省文科生源质量较好，可以考虑增加在这四省的文科投放量。</w:t>
      </w:r>
    </w:p>
    <w:p w:rsidR="001F25F9" w:rsidRPr="00B14E30" w:rsidRDefault="001F25F9" w:rsidP="001F25F9">
      <w:pPr>
        <w:spacing w:line="560" w:lineRule="exact"/>
        <w:ind w:firstLineChars="200" w:firstLine="640"/>
        <w:rPr>
          <w:rFonts w:ascii="仿宋_GB2312" w:eastAsia="仿宋_GB2312" w:hAnsi="Calibri" w:cs="Times New Roman"/>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此外，虽然湖北省、安徽省、四川省因自主命题无法和其他四省进行横向比较，但考虑到当地经济发展、教育质量等因素，生源质量要优于其他四省，具备为学院输送稳定优质生源的潜力，应优先选择投放。</w:t>
      </w:r>
    </w:p>
    <w:p w:rsidR="001F25F9" w:rsidRPr="00B14E30" w:rsidRDefault="001F25F9" w:rsidP="001F25F9">
      <w:pPr>
        <w:spacing w:line="560" w:lineRule="exact"/>
        <w:jc w:val="center"/>
        <w:rPr>
          <w:rFonts w:ascii="仿宋_GB2312" w:eastAsia="仿宋_GB2312" w:hAnsi="Calibri" w:cs="Times New Roman"/>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表2</w:t>
      </w:r>
      <w:r w:rsidRPr="00B14E30">
        <w:rPr>
          <w:rFonts w:ascii="仿宋_GB2312" w:eastAsia="仿宋_GB2312" w:hAnsi="Calibri" w:cs="仿宋_GB2312"/>
          <w:color w:val="000000" w:themeColor="text1"/>
          <w:kern w:val="0"/>
          <w:sz w:val="32"/>
          <w:szCs w:val="32"/>
          <w:lang w:val="zh-CN"/>
        </w:rPr>
        <w:t>.</w:t>
      </w:r>
      <w:r w:rsidRPr="00B14E30">
        <w:rPr>
          <w:rFonts w:ascii="仿宋_GB2312" w:eastAsia="仿宋_GB2312" w:hAnsi="Calibri" w:cs="仿宋_GB2312" w:hint="eastAsia"/>
          <w:color w:val="000000" w:themeColor="text1"/>
          <w:kern w:val="0"/>
          <w:sz w:val="32"/>
          <w:szCs w:val="32"/>
          <w:lang w:val="zh-CN"/>
        </w:rPr>
        <w:t>13</w:t>
      </w:r>
      <w:r w:rsidRPr="00B14E30">
        <w:rPr>
          <w:rFonts w:ascii="仿宋_GB2312" w:eastAsia="仿宋_GB2312" w:hAnsi="Calibri" w:cs="仿宋_GB2312"/>
          <w:color w:val="000000" w:themeColor="text1"/>
          <w:kern w:val="0"/>
          <w:sz w:val="32"/>
          <w:szCs w:val="32"/>
          <w:lang w:val="zh-CN"/>
        </w:rPr>
        <w:t xml:space="preserve"> 2014-2015</w:t>
      </w:r>
      <w:r w:rsidRPr="00B14E30">
        <w:rPr>
          <w:rFonts w:ascii="仿宋_GB2312" w:eastAsia="仿宋_GB2312" w:hAnsi="Calibri" w:cs="仿宋_GB2312" w:hint="eastAsia"/>
          <w:color w:val="000000" w:themeColor="text1"/>
          <w:kern w:val="0"/>
          <w:sz w:val="32"/>
          <w:szCs w:val="32"/>
          <w:lang w:val="zh-CN"/>
        </w:rPr>
        <w:t>年七省区录取情况</w:t>
      </w:r>
    </w:p>
    <w:tbl>
      <w:tblPr>
        <w:tblW w:w="9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731"/>
        <w:gridCol w:w="679"/>
        <w:gridCol w:w="928"/>
        <w:gridCol w:w="1011"/>
        <w:gridCol w:w="973"/>
        <w:gridCol w:w="973"/>
        <w:gridCol w:w="973"/>
        <w:gridCol w:w="997"/>
        <w:gridCol w:w="966"/>
        <w:gridCol w:w="1033"/>
      </w:tblGrid>
      <w:tr w:rsidR="00B14E30" w:rsidRPr="00B14E30" w:rsidTr="00CE6A93">
        <w:trPr>
          <w:trHeight w:val="417"/>
          <w:jc w:val="center"/>
        </w:trPr>
        <w:tc>
          <w:tcPr>
            <w:tcW w:w="731"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省份</w:t>
            </w:r>
          </w:p>
        </w:tc>
        <w:tc>
          <w:tcPr>
            <w:tcW w:w="679" w:type="dxa"/>
            <w:vMerge w:val="restart"/>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类别</w:t>
            </w:r>
          </w:p>
        </w:tc>
        <w:tc>
          <w:tcPr>
            <w:tcW w:w="1939" w:type="dxa"/>
            <w:gridSpan w:val="2"/>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b/>
                <w:bCs/>
                <w:color w:val="000000" w:themeColor="text1"/>
                <w:kern w:val="0"/>
                <w:szCs w:val="21"/>
              </w:rPr>
              <w:t>2014</w:t>
            </w:r>
            <w:r w:rsidRPr="00B14E30">
              <w:rPr>
                <w:rFonts w:ascii="仿宋_GB2312" w:eastAsia="仿宋_GB2312" w:hAnsi="宋体" w:cs="仿宋_GB2312" w:hint="eastAsia"/>
                <w:b/>
                <w:bCs/>
                <w:color w:val="000000" w:themeColor="text1"/>
                <w:kern w:val="0"/>
                <w:szCs w:val="21"/>
              </w:rPr>
              <w:t>年</w:t>
            </w:r>
          </w:p>
        </w:tc>
        <w:tc>
          <w:tcPr>
            <w:tcW w:w="1946" w:type="dxa"/>
            <w:gridSpan w:val="2"/>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b/>
                <w:bCs/>
                <w:color w:val="000000" w:themeColor="text1"/>
                <w:kern w:val="0"/>
                <w:szCs w:val="21"/>
              </w:rPr>
              <w:t>2015</w:t>
            </w:r>
            <w:r w:rsidRPr="00B14E30">
              <w:rPr>
                <w:rFonts w:ascii="仿宋_GB2312" w:eastAsia="仿宋_GB2312" w:hAnsi="宋体" w:cs="仿宋_GB2312" w:hint="eastAsia"/>
                <w:b/>
                <w:bCs/>
                <w:color w:val="000000" w:themeColor="text1"/>
                <w:kern w:val="0"/>
                <w:szCs w:val="21"/>
              </w:rPr>
              <w:t>年</w:t>
            </w:r>
          </w:p>
        </w:tc>
        <w:tc>
          <w:tcPr>
            <w:tcW w:w="1970" w:type="dxa"/>
            <w:gridSpan w:val="2"/>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b/>
                <w:bCs/>
                <w:color w:val="000000" w:themeColor="text1"/>
                <w:kern w:val="0"/>
                <w:szCs w:val="21"/>
              </w:rPr>
              <w:t>2014</w:t>
            </w:r>
            <w:r w:rsidRPr="00B14E30">
              <w:rPr>
                <w:rFonts w:ascii="仿宋_GB2312" w:eastAsia="仿宋_GB2312" w:hAnsi="宋体" w:cs="仿宋_GB2312" w:hint="eastAsia"/>
                <w:b/>
                <w:bCs/>
                <w:color w:val="000000" w:themeColor="text1"/>
                <w:kern w:val="0"/>
                <w:szCs w:val="21"/>
              </w:rPr>
              <w:t>年</w:t>
            </w:r>
          </w:p>
        </w:tc>
        <w:tc>
          <w:tcPr>
            <w:tcW w:w="1999" w:type="dxa"/>
            <w:gridSpan w:val="2"/>
            <w:tcBorders>
              <w:top w:val="single" w:sz="12" w:space="0" w:color="auto"/>
            </w:tcBorders>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b/>
                <w:bCs/>
                <w:color w:val="000000" w:themeColor="text1"/>
                <w:kern w:val="0"/>
                <w:szCs w:val="21"/>
              </w:rPr>
              <w:t>2015</w:t>
            </w:r>
            <w:r w:rsidRPr="00B14E30">
              <w:rPr>
                <w:rFonts w:ascii="仿宋_GB2312" w:eastAsia="仿宋_GB2312" w:hAnsi="宋体" w:cs="仿宋_GB2312" w:hint="eastAsia"/>
                <w:b/>
                <w:bCs/>
                <w:color w:val="000000" w:themeColor="text1"/>
                <w:kern w:val="0"/>
                <w:szCs w:val="21"/>
              </w:rPr>
              <w:t>年</w:t>
            </w:r>
          </w:p>
        </w:tc>
      </w:tr>
      <w:tr w:rsidR="00B14E30" w:rsidRPr="00B14E30" w:rsidTr="00CE6A93">
        <w:trPr>
          <w:trHeight w:val="332"/>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679"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28"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计划数</w:t>
            </w:r>
          </w:p>
        </w:tc>
        <w:tc>
          <w:tcPr>
            <w:tcW w:w="1011"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一次投档数</w:t>
            </w:r>
          </w:p>
        </w:tc>
        <w:tc>
          <w:tcPr>
            <w:tcW w:w="973"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计划数</w:t>
            </w:r>
          </w:p>
        </w:tc>
        <w:tc>
          <w:tcPr>
            <w:tcW w:w="973"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一次投档数</w:t>
            </w:r>
          </w:p>
        </w:tc>
        <w:tc>
          <w:tcPr>
            <w:tcW w:w="973"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平均分与控制线分差</w:t>
            </w:r>
          </w:p>
        </w:tc>
        <w:tc>
          <w:tcPr>
            <w:tcW w:w="997" w:type="dxa"/>
            <w:vMerge w:val="restart"/>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最低分与控制线分差</w:t>
            </w:r>
          </w:p>
        </w:tc>
        <w:tc>
          <w:tcPr>
            <w:tcW w:w="966" w:type="dxa"/>
            <w:vMerge w:val="restart"/>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平均分与控制线分差</w:t>
            </w:r>
          </w:p>
        </w:tc>
        <w:tc>
          <w:tcPr>
            <w:tcW w:w="1033" w:type="dxa"/>
            <w:vMerge w:val="restart"/>
            <w:noWrap/>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最低分与控制线分差</w:t>
            </w:r>
          </w:p>
        </w:tc>
      </w:tr>
      <w:tr w:rsidR="00B14E30" w:rsidRPr="00B14E30" w:rsidTr="00CE6A93">
        <w:trPr>
          <w:trHeight w:val="32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679"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28"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1011"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97"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966"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1033"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r>
      <w:tr w:rsidR="00B14E30" w:rsidRPr="00B14E30" w:rsidTr="00CE6A93">
        <w:trPr>
          <w:trHeight w:val="32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679"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28"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1011"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73"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997"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966" w:type="dxa"/>
            <w:vMerge/>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p>
        </w:tc>
        <w:tc>
          <w:tcPr>
            <w:tcW w:w="1033"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河南</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11"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97"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66"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3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11"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97"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山西</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16</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8.5</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28</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26</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22.8</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17.8</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甘肃</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966"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3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13</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5.3</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贵州</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966"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3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36</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47</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34</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32.6</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5.1</w:t>
            </w:r>
          </w:p>
        </w:tc>
        <w:tc>
          <w:tcPr>
            <w:tcW w:w="1033"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color w:val="000000" w:themeColor="text1"/>
                <w:kern w:val="0"/>
                <w:szCs w:val="21"/>
              </w:rPr>
              <w:t>0</w:t>
            </w: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安徽</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11"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97"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66"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3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11"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97"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28.7</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r>
      <w:tr w:rsidR="00B14E30" w:rsidRPr="00B14E30" w:rsidTr="00CE6A93">
        <w:trPr>
          <w:trHeight w:val="299"/>
          <w:jc w:val="center"/>
        </w:trPr>
        <w:tc>
          <w:tcPr>
            <w:tcW w:w="731" w:type="dxa"/>
            <w:vMerge w:val="restart"/>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四川</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29</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28</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24.3</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w:t>
            </w:r>
          </w:p>
        </w:tc>
      </w:tr>
      <w:tr w:rsidR="00B14E30" w:rsidRPr="00B14E30" w:rsidTr="00CE6A93">
        <w:trPr>
          <w:trHeight w:val="299"/>
          <w:jc w:val="center"/>
        </w:trPr>
        <w:tc>
          <w:tcPr>
            <w:tcW w:w="73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7.4</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96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41.1</w:t>
            </w:r>
          </w:p>
        </w:tc>
        <w:tc>
          <w:tcPr>
            <w:tcW w:w="103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38</w:t>
            </w:r>
          </w:p>
        </w:tc>
      </w:tr>
      <w:tr w:rsidR="00B14E30" w:rsidRPr="00B14E30" w:rsidTr="00CE6A93">
        <w:trPr>
          <w:trHeight w:val="299"/>
          <w:jc w:val="center"/>
        </w:trPr>
        <w:tc>
          <w:tcPr>
            <w:tcW w:w="731"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湖北</w:t>
            </w:r>
          </w:p>
        </w:tc>
        <w:tc>
          <w:tcPr>
            <w:tcW w:w="679" w:type="dxa"/>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文</w:t>
            </w:r>
          </w:p>
        </w:tc>
        <w:tc>
          <w:tcPr>
            <w:tcW w:w="928"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011"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973"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14.5</w:t>
            </w:r>
          </w:p>
        </w:tc>
        <w:tc>
          <w:tcPr>
            <w:tcW w:w="997"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966"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c>
          <w:tcPr>
            <w:tcW w:w="1033" w:type="dxa"/>
            <w:noWrap/>
          </w:tcPr>
          <w:p w:rsidR="001F25F9" w:rsidRPr="00B14E30" w:rsidRDefault="001F25F9" w:rsidP="001F25F9">
            <w:pPr>
              <w:jc w:val="center"/>
              <w:rPr>
                <w:rFonts w:ascii="Calibri" w:eastAsia="宋体" w:hAnsi="Calibri" w:cs="Calibri"/>
                <w:color w:val="000000" w:themeColor="text1"/>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99"/>
          <w:jc w:val="center"/>
        </w:trPr>
        <w:tc>
          <w:tcPr>
            <w:tcW w:w="73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679"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理</w:t>
            </w:r>
          </w:p>
        </w:tc>
        <w:tc>
          <w:tcPr>
            <w:tcW w:w="928"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1011"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973"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973"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973"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11.6</w:t>
            </w:r>
          </w:p>
        </w:tc>
        <w:tc>
          <w:tcPr>
            <w:tcW w:w="997"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966"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7.2</w:t>
            </w:r>
          </w:p>
        </w:tc>
        <w:tc>
          <w:tcPr>
            <w:tcW w:w="1033"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r>
    </w:tbl>
    <w:p w:rsidR="001F25F9" w:rsidRPr="00B14E30" w:rsidRDefault="001F25F9" w:rsidP="00080A87">
      <w:pPr>
        <w:spacing w:line="560" w:lineRule="exact"/>
        <w:ind w:firstLineChars="200" w:firstLine="640"/>
        <w:rPr>
          <w:rFonts w:ascii="仿宋_GB2312" w:eastAsia="仿宋_GB2312" w:hAnsi="Calibri" w:cs="Times New Roman"/>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lastRenderedPageBreak/>
        <w:t>如表2</w:t>
      </w:r>
      <w:r w:rsidRPr="00B14E30">
        <w:rPr>
          <w:rFonts w:ascii="仿宋_GB2312" w:eastAsia="仿宋_GB2312" w:hAnsi="Calibri" w:cs="仿宋_GB2312"/>
          <w:color w:val="000000" w:themeColor="text1"/>
          <w:kern w:val="0"/>
          <w:sz w:val="32"/>
          <w:szCs w:val="32"/>
          <w:lang w:val="zh-CN"/>
        </w:rPr>
        <w:t>.</w:t>
      </w:r>
      <w:r w:rsidRPr="00B14E30">
        <w:rPr>
          <w:rFonts w:ascii="仿宋_GB2312" w:eastAsia="仿宋_GB2312" w:hAnsi="Calibri" w:cs="仿宋_GB2312" w:hint="eastAsia"/>
          <w:color w:val="000000" w:themeColor="text1"/>
          <w:kern w:val="0"/>
          <w:sz w:val="32"/>
          <w:szCs w:val="32"/>
          <w:lang w:val="zh-CN"/>
        </w:rPr>
        <w:t>13所示，总体来说，</w:t>
      </w:r>
      <w:r w:rsidRPr="00B14E30">
        <w:rPr>
          <w:rFonts w:ascii="仿宋_GB2312" w:eastAsia="仿宋_GB2312" w:hAnsi="Calibri" w:cs="仿宋_GB2312"/>
          <w:color w:val="000000" w:themeColor="text1"/>
          <w:kern w:val="0"/>
          <w:sz w:val="32"/>
          <w:szCs w:val="32"/>
          <w:lang w:val="zh-CN"/>
        </w:rPr>
        <w:t>2014-2015</w:t>
      </w:r>
      <w:r w:rsidRPr="00B14E30">
        <w:rPr>
          <w:rFonts w:ascii="仿宋_GB2312" w:eastAsia="仿宋_GB2312" w:hAnsi="Calibri" w:cs="仿宋_GB2312" w:hint="eastAsia"/>
          <w:color w:val="000000" w:themeColor="text1"/>
          <w:kern w:val="0"/>
          <w:sz w:val="32"/>
          <w:szCs w:val="32"/>
          <w:lang w:val="zh-CN"/>
        </w:rPr>
        <w:t>年七省区一次投档情况并不理想，仅有四川、湖北、甘肃逐年好转，结合录取分数情况，建议扩大四川和湖北省的投放计划。</w:t>
      </w:r>
      <w:r w:rsidRPr="00B14E30">
        <w:rPr>
          <w:rFonts w:ascii="仿宋_GB2312" w:eastAsia="仿宋_GB2312" w:hAnsi="Calibri" w:cs="仿宋_GB2312"/>
          <w:color w:val="000000" w:themeColor="text1"/>
          <w:kern w:val="0"/>
          <w:sz w:val="32"/>
          <w:szCs w:val="32"/>
          <w:lang w:val="zh-CN"/>
        </w:rPr>
        <w:t>2015</w:t>
      </w:r>
      <w:r w:rsidRPr="00B14E30">
        <w:rPr>
          <w:rFonts w:ascii="仿宋_GB2312" w:eastAsia="仿宋_GB2312" w:hAnsi="Calibri" w:cs="仿宋_GB2312" w:hint="eastAsia"/>
          <w:color w:val="000000" w:themeColor="text1"/>
          <w:kern w:val="0"/>
          <w:sz w:val="32"/>
          <w:szCs w:val="32"/>
          <w:lang w:val="zh-CN"/>
        </w:rPr>
        <w:t>年我院面向河南、安徽投放计划，计划数均为</w:t>
      </w:r>
      <w:r w:rsidRPr="00B14E30">
        <w:rPr>
          <w:rFonts w:ascii="仿宋_GB2312" w:eastAsia="仿宋_GB2312" w:hAnsi="Calibri" w:cs="仿宋_GB2312"/>
          <w:color w:val="000000" w:themeColor="text1"/>
          <w:kern w:val="0"/>
          <w:sz w:val="32"/>
          <w:szCs w:val="32"/>
          <w:lang w:val="zh-CN"/>
        </w:rPr>
        <w:t>10</w:t>
      </w:r>
      <w:r w:rsidRPr="00B14E30">
        <w:rPr>
          <w:rFonts w:ascii="仿宋_GB2312" w:eastAsia="仿宋_GB2312" w:hAnsi="Calibri" w:cs="仿宋_GB2312" w:hint="eastAsia"/>
          <w:color w:val="000000" w:themeColor="text1"/>
          <w:kern w:val="0"/>
          <w:sz w:val="32"/>
          <w:szCs w:val="32"/>
          <w:lang w:val="zh-CN"/>
        </w:rPr>
        <w:t>个，一次投档数分别为</w:t>
      </w:r>
      <w:r w:rsidRPr="00B14E30">
        <w:rPr>
          <w:rFonts w:ascii="仿宋_GB2312" w:eastAsia="仿宋_GB2312" w:hAnsi="Calibri" w:cs="仿宋_GB2312"/>
          <w:color w:val="000000" w:themeColor="text1"/>
          <w:kern w:val="0"/>
          <w:sz w:val="32"/>
          <w:szCs w:val="32"/>
          <w:lang w:val="zh-CN"/>
        </w:rPr>
        <w:t>10</w:t>
      </w:r>
      <w:r w:rsidRPr="00B14E30">
        <w:rPr>
          <w:rFonts w:ascii="仿宋_GB2312" w:eastAsia="仿宋_GB2312" w:hAnsi="Calibri" w:cs="仿宋_GB2312" w:hint="eastAsia"/>
          <w:color w:val="000000" w:themeColor="text1"/>
          <w:kern w:val="0"/>
          <w:sz w:val="32"/>
          <w:szCs w:val="32"/>
          <w:lang w:val="zh-CN"/>
        </w:rPr>
        <w:t>个和</w:t>
      </w:r>
      <w:r w:rsidRPr="00B14E30">
        <w:rPr>
          <w:rFonts w:ascii="仿宋_GB2312" w:eastAsia="仿宋_GB2312" w:hAnsi="Calibri" w:cs="仿宋_GB2312"/>
          <w:color w:val="000000" w:themeColor="text1"/>
          <w:kern w:val="0"/>
          <w:sz w:val="32"/>
          <w:szCs w:val="32"/>
          <w:lang w:val="zh-CN"/>
        </w:rPr>
        <w:t>2</w:t>
      </w:r>
      <w:r w:rsidRPr="00B14E30">
        <w:rPr>
          <w:rFonts w:ascii="仿宋_GB2312" w:eastAsia="仿宋_GB2312" w:hAnsi="Calibri" w:cs="仿宋_GB2312" w:hint="eastAsia"/>
          <w:color w:val="000000" w:themeColor="text1"/>
          <w:kern w:val="0"/>
          <w:sz w:val="32"/>
          <w:szCs w:val="32"/>
          <w:lang w:val="zh-CN"/>
        </w:rPr>
        <w:t>个，表明河南省对于我院认可度较高，录取分数也比较理想，建议继续扩大在河南省的投放计划；考虑到第一年投放计划，安徽省应保持现有投放规模。</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黑体" w:hint="eastAsia"/>
          <w:color w:val="000000" w:themeColor="text1"/>
          <w:sz w:val="32"/>
          <w:szCs w:val="32"/>
        </w:rPr>
        <w:t>（2）分专业情况分析</w:t>
      </w:r>
    </w:p>
    <w:p w:rsidR="001F25F9" w:rsidRPr="00B14E30" w:rsidRDefault="003E5B9B" w:rsidP="00080A87">
      <w:pPr>
        <w:spacing w:line="560" w:lineRule="exact"/>
        <w:ind w:firstLineChars="200" w:firstLine="640"/>
        <w:rPr>
          <w:rFonts w:ascii="楷体_GB2312" w:eastAsia="楷体_GB2312" w:hAnsi="Calibri" w:cs="Times New Roman"/>
          <w:color w:val="000000" w:themeColor="text1"/>
          <w:sz w:val="32"/>
          <w:szCs w:val="32"/>
        </w:rPr>
      </w:pPr>
      <w:r w:rsidRPr="00B14E30">
        <w:rPr>
          <w:rFonts w:ascii="楷体_GB2312" w:eastAsia="楷体_GB2312" w:hAnsi="Calibri" w:cs="楷体_GB2312"/>
          <w:color w:val="000000" w:themeColor="text1"/>
          <w:sz w:val="32"/>
          <w:szCs w:val="32"/>
        </w:rPr>
        <w:fldChar w:fldCharType="begin"/>
      </w:r>
      <w:r w:rsidR="001F25F9" w:rsidRPr="00B14E30">
        <w:rPr>
          <w:rFonts w:ascii="楷体_GB2312" w:eastAsia="楷体_GB2312" w:hAnsi="Calibri" w:cs="楷体_GB2312"/>
          <w:color w:val="000000" w:themeColor="text1"/>
          <w:sz w:val="32"/>
          <w:szCs w:val="32"/>
        </w:rPr>
        <w:instrText xml:space="preserve"> </w:instrText>
      </w:r>
      <w:r w:rsidR="001F25F9" w:rsidRPr="00B14E30">
        <w:rPr>
          <w:rFonts w:ascii="楷体_GB2312" w:eastAsia="楷体_GB2312" w:hAnsi="Calibri" w:cs="楷体_GB2312" w:hint="eastAsia"/>
          <w:color w:val="000000" w:themeColor="text1"/>
          <w:sz w:val="32"/>
          <w:szCs w:val="32"/>
        </w:rPr>
        <w:instrText>= 1 \* GB3</w:instrText>
      </w:r>
      <w:r w:rsidR="001F25F9" w:rsidRPr="00B14E30">
        <w:rPr>
          <w:rFonts w:ascii="楷体_GB2312" w:eastAsia="楷体_GB2312" w:hAnsi="Calibri" w:cs="楷体_GB2312"/>
          <w:color w:val="000000" w:themeColor="text1"/>
          <w:sz w:val="32"/>
          <w:szCs w:val="32"/>
        </w:rPr>
        <w:instrText xml:space="preserve"> </w:instrText>
      </w:r>
      <w:r w:rsidRPr="00B14E30">
        <w:rPr>
          <w:rFonts w:ascii="楷体_GB2312" w:eastAsia="楷体_GB2312" w:hAnsi="Calibri" w:cs="楷体_GB2312"/>
          <w:color w:val="000000" w:themeColor="text1"/>
          <w:sz w:val="32"/>
          <w:szCs w:val="32"/>
        </w:rPr>
        <w:fldChar w:fldCharType="separate"/>
      </w:r>
      <w:r w:rsidR="001F25F9" w:rsidRPr="00B14E30">
        <w:rPr>
          <w:rFonts w:ascii="楷体_GB2312" w:eastAsia="楷体_GB2312" w:hAnsi="Calibri" w:cs="楷体_GB2312" w:hint="eastAsia"/>
          <w:noProof/>
          <w:color w:val="000000" w:themeColor="text1"/>
          <w:sz w:val="32"/>
          <w:szCs w:val="32"/>
        </w:rPr>
        <w:t>①</w:t>
      </w:r>
      <w:r w:rsidRPr="00B14E30">
        <w:rPr>
          <w:rFonts w:ascii="楷体_GB2312" w:eastAsia="楷体_GB2312" w:hAnsi="Calibri" w:cs="楷体_GB2312"/>
          <w:color w:val="000000" w:themeColor="text1"/>
          <w:sz w:val="32"/>
          <w:szCs w:val="32"/>
        </w:rPr>
        <w:fldChar w:fldCharType="end"/>
      </w:r>
      <w:r w:rsidR="001F25F9" w:rsidRPr="00B14E30">
        <w:rPr>
          <w:rFonts w:ascii="楷体_GB2312" w:eastAsia="楷体_GB2312" w:hAnsi="Calibri" w:cs="楷体_GB2312" w:hint="eastAsia"/>
          <w:color w:val="000000" w:themeColor="text1"/>
          <w:sz w:val="32"/>
          <w:szCs w:val="32"/>
        </w:rPr>
        <w:t>我院录取情况分析</w:t>
      </w:r>
    </w:p>
    <w:p w:rsidR="001F25F9" w:rsidRPr="00B14E30" w:rsidRDefault="001F25F9" w:rsidP="00080A87">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表</w:t>
      </w:r>
      <w:r w:rsidRPr="00B14E30">
        <w:rPr>
          <w:rFonts w:ascii="仿宋_GB2312" w:eastAsia="仿宋_GB2312" w:hAnsi="Calibri" w:cs="仿宋_GB2312"/>
          <w:color w:val="000000" w:themeColor="text1"/>
          <w:sz w:val="32"/>
          <w:szCs w:val="32"/>
        </w:rPr>
        <w:t>2.1</w:t>
      </w:r>
      <w:r w:rsidRPr="00B14E30">
        <w:rPr>
          <w:rFonts w:ascii="仿宋_GB2312" w:eastAsia="仿宋_GB2312" w:hAnsi="Calibri" w:cs="仿宋_GB2312" w:hint="eastAsia"/>
          <w:color w:val="000000" w:themeColor="text1"/>
          <w:sz w:val="32"/>
          <w:szCs w:val="32"/>
        </w:rPr>
        <w:t>4</w:t>
      </w:r>
      <w:r w:rsidRPr="00B14E30">
        <w:rPr>
          <w:rFonts w:ascii="仿宋_GB2312" w:eastAsia="仿宋_GB2312" w:hAnsi="Calibri" w:cs="仿宋_GB2312"/>
          <w:color w:val="000000" w:themeColor="text1"/>
          <w:sz w:val="32"/>
          <w:szCs w:val="32"/>
        </w:rPr>
        <w:t xml:space="preserve"> 2014-2015</w:t>
      </w:r>
      <w:r w:rsidRPr="00B14E30">
        <w:rPr>
          <w:rFonts w:ascii="仿宋_GB2312" w:eastAsia="仿宋_GB2312" w:hAnsi="Calibri" w:cs="仿宋_GB2312" w:hint="eastAsia"/>
          <w:color w:val="000000" w:themeColor="text1"/>
          <w:sz w:val="32"/>
          <w:szCs w:val="32"/>
        </w:rPr>
        <w:t>年各专业（理科）第一志愿情况表</w:t>
      </w:r>
    </w:p>
    <w:tbl>
      <w:tblPr>
        <w:tblW w:w="99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559"/>
        <w:gridCol w:w="636"/>
        <w:gridCol w:w="531"/>
        <w:gridCol w:w="427"/>
        <w:gridCol w:w="427"/>
        <w:gridCol w:w="427"/>
        <w:gridCol w:w="427"/>
        <w:gridCol w:w="427"/>
        <w:gridCol w:w="427"/>
        <w:gridCol w:w="427"/>
        <w:gridCol w:w="427"/>
        <w:gridCol w:w="427"/>
        <w:gridCol w:w="427"/>
        <w:gridCol w:w="427"/>
        <w:gridCol w:w="427"/>
        <w:gridCol w:w="427"/>
        <w:gridCol w:w="427"/>
        <w:gridCol w:w="427"/>
        <w:gridCol w:w="427"/>
        <w:gridCol w:w="531"/>
        <w:gridCol w:w="886"/>
      </w:tblGrid>
      <w:tr w:rsidR="00B14E30" w:rsidRPr="00B14E30" w:rsidTr="00CE6A93">
        <w:trPr>
          <w:trHeight w:val="270"/>
          <w:jc w:val="center"/>
        </w:trPr>
        <w:tc>
          <w:tcPr>
            <w:tcW w:w="559"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专业</w:t>
            </w:r>
          </w:p>
        </w:tc>
        <w:tc>
          <w:tcPr>
            <w:tcW w:w="636"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年份</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辽宁</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河北</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内蒙古</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吉林</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黑龙江</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山东</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陕西</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湖北</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广西</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四川</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贵州</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云南</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山西</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甘肃</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安徽</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河南</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新疆</w:t>
            </w:r>
          </w:p>
        </w:tc>
        <w:tc>
          <w:tcPr>
            <w:tcW w:w="0" w:type="auto"/>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总计</w:t>
            </w:r>
          </w:p>
        </w:tc>
        <w:tc>
          <w:tcPr>
            <w:tcW w:w="886"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bCs/>
                <w:color w:val="000000" w:themeColor="text1"/>
                <w:kern w:val="0"/>
                <w:szCs w:val="21"/>
              </w:rPr>
            </w:pPr>
            <w:r w:rsidRPr="00B14E30">
              <w:rPr>
                <w:rFonts w:ascii="仿宋_GB2312" w:eastAsia="仿宋_GB2312" w:hAnsi="宋体" w:cs="仿宋_GB2312" w:hint="eastAsia"/>
                <w:b/>
                <w:bCs/>
                <w:color w:val="000000" w:themeColor="text1"/>
                <w:kern w:val="0"/>
                <w:szCs w:val="21"/>
              </w:rPr>
              <w:t>占总比例</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应化</w:t>
            </w:r>
          </w:p>
        </w:tc>
        <w:tc>
          <w:tcPr>
            <w:tcW w:w="636"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46</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5.10%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60</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6.24%</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机制</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256</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370</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40.90%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231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370</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38.46%</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材控</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3.20%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1.98%</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材料</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28</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2.91%</w:t>
            </w:r>
          </w:p>
        </w:tc>
      </w:tr>
      <w:tr w:rsidR="00B14E30" w:rsidRPr="00B14E30" w:rsidTr="00CE6A93">
        <w:trPr>
          <w:trHeight w:val="432"/>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无机非</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16</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26</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2.90%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15</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1.56%</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电气</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161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23.10%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181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232</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24.10%</w:t>
            </w:r>
          </w:p>
        </w:tc>
      </w:tr>
      <w:tr w:rsidR="00B14E30" w:rsidRPr="00B14E30" w:rsidTr="00CE6A93">
        <w:trPr>
          <w:trHeight w:val="399"/>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自动化</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48</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76</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8.40%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48</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8.21%</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化工</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5.40%</w:t>
            </w:r>
          </w:p>
        </w:tc>
      </w:tr>
      <w:tr w:rsidR="00B14E30" w:rsidRPr="00B14E30" w:rsidTr="00CE6A93">
        <w:trPr>
          <w:trHeight w:val="285"/>
          <w:jc w:val="center"/>
        </w:trPr>
        <w:tc>
          <w:tcPr>
            <w:tcW w:w="559" w:type="dxa"/>
            <w:vMerge/>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40</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4.16%</w:t>
            </w:r>
          </w:p>
        </w:tc>
      </w:tr>
      <w:tr w:rsidR="00B14E30" w:rsidRPr="00B14E30" w:rsidTr="00CE6A93">
        <w:trPr>
          <w:trHeight w:val="270"/>
          <w:jc w:val="center"/>
        </w:trPr>
        <w:tc>
          <w:tcPr>
            <w:tcW w:w="559" w:type="dxa"/>
            <w:vMerge w:val="restart"/>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物</w:t>
            </w:r>
            <w:r w:rsidRPr="00B14E30">
              <w:rPr>
                <w:rFonts w:ascii="仿宋_GB2312" w:eastAsia="仿宋_GB2312" w:hAnsi="宋体" w:cs="仿宋_GB2312" w:hint="eastAsia"/>
                <w:color w:val="000000" w:themeColor="text1"/>
                <w:kern w:val="0"/>
                <w:szCs w:val="21"/>
              </w:rPr>
              <w:lastRenderedPageBreak/>
              <w:t>流</w:t>
            </w:r>
          </w:p>
        </w:tc>
        <w:tc>
          <w:tcPr>
            <w:tcW w:w="63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lastRenderedPageBreak/>
              <w:t>2014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w:t>
            </w:r>
          </w:p>
        </w:tc>
        <w:tc>
          <w:tcPr>
            <w:tcW w:w="0" w:type="auto"/>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99</w:t>
            </w:r>
          </w:p>
        </w:tc>
        <w:tc>
          <w:tcPr>
            <w:tcW w:w="886" w:type="dxa"/>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w:t>
            </w:r>
          </w:p>
        </w:tc>
      </w:tr>
      <w:tr w:rsidR="00B14E30" w:rsidRPr="00B14E30" w:rsidTr="00CE6A93">
        <w:trPr>
          <w:trHeight w:val="285"/>
          <w:jc w:val="center"/>
        </w:trPr>
        <w:tc>
          <w:tcPr>
            <w:tcW w:w="559" w:type="dxa"/>
            <w:vMerge/>
            <w:tcBorders>
              <w:bottom w:val="single" w:sz="12" w:space="0" w:color="auto"/>
            </w:tcBorders>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p>
        </w:tc>
        <w:tc>
          <w:tcPr>
            <w:tcW w:w="636"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2015</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94</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0" w:type="auto"/>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w:t>
            </w:r>
          </w:p>
        </w:tc>
        <w:tc>
          <w:tcPr>
            <w:tcW w:w="0" w:type="auto"/>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119</w:t>
            </w:r>
          </w:p>
        </w:tc>
        <w:tc>
          <w:tcPr>
            <w:tcW w:w="886" w:type="dxa"/>
            <w:tcBorders>
              <w:bottom w:val="single" w:sz="12" w:space="0" w:color="auto"/>
            </w:tcBorders>
            <w:noWrap/>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12.37%</w:t>
            </w:r>
          </w:p>
        </w:tc>
      </w:tr>
    </w:tbl>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lastRenderedPageBreak/>
        <w:t>2014年和2015年各专业（理科）第一志愿报名比例上下浮动在1%-2%，各专业第一志愿比例基本稳定，但部分专业所占比例差距较大，比例最高的机械设计制造及其自动化与最低的无机非金属材料相差近38个百分点。此外，材控、材料、无机非第一志愿报名人数过低，且2015年材控专业在所投放的四个省份中，第一志愿的填报数均为0。所以，应尽量减少这三个专业在外省的投放计划。</w:t>
      </w:r>
    </w:p>
    <w:p w:rsidR="001F25F9" w:rsidRPr="00B14E30" w:rsidRDefault="003E5B9B"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楷体_GB2312" w:hint="eastAsia"/>
          <w:color w:val="000000" w:themeColor="text1"/>
          <w:sz w:val="32"/>
          <w:szCs w:val="32"/>
        </w:rPr>
        <w:fldChar w:fldCharType="begin"/>
      </w:r>
      <w:r w:rsidR="001F25F9" w:rsidRPr="00B14E30">
        <w:rPr>
          <w:rFonts w:ascii="仿宋_GB2312" w:eastAsia="仿宋_GB2312" w:hAnsi="Calibri" w:cs="楷体_GB2312" w:hint="eastAsia"/>
          <w:color w:val="000000" w:themeColor="text1"/>
          <w:sz w:val="32"/>
          <w:szCs w:val="32"/>
        </w:rPr>
        <w:instrText xml:space="preserve"> = 2 \* GB3 </w:instrText>
      </w:r>
      <w:r w:rsidRPr="00B14E30">
        <w:rPr>
          <w:rFonts w:ascii="仿宋_GB2312" w:eastAsia="仿宋_GB2312" w:hAnsi="Calibri" w:cs="楷体_GB2312" w:hint="eastAsia"/>
          <w:color w:val="000000" w:themeColor="text1"/>
          <w:sz w:val="32"/>
          <w:szCs w:val="32"/>
        </w:rPr>
        <w:fldChar w:fldCharType="separate"/>
      </w:r>
      <w:r w:rsidR="001F25F9" w:rsidRPr="00B14E30">
        <w:rPr>
          <w:rFonts w:ascii="仿宋_GB2312" w:eastAsia="仿宋_GB2312" w:hAnsi="Calibri" w:cs="楷体_GB2312" w:hint="eastAsia"/>
          <w:noProof/>
          <w:color w:val="000000" w:themeColor="text1"/>
          <w:sz w:val="32"/>
          <w:szCs w:val="32"/>
        </w:rPr>
        <w:t>②</w:t>
      </w:r>
      <w:r w:rsidRPr="00B14E30">
        <w:rPr>
          <w:rFonts w:ascii="仿宋_GB2312" w:eastAsia="仿宋_GB2312" w:hAnsi="Calibri" w:cs="楷体_GB2312" w:hint="eastAsia"/>
          <w:color w:val="000000" w:themeColor="text1"/>
          <w:sz w:val="32"/>
          <w:szCs w:val="32"/>
        </w:rPr>
        <w:fldChar w:fldCharType="end"/>
      </w:r>
      <w:r w:rsidR="001F25F9" w:rsidRPr="00B14E30">
        <w:rPr>
          <w:rFonts w:ascii="仿宋_GB2312" w:eastAsia="仿宋_GB2312" w:hAnsi="Calibri" w:cs="楷体_GB2312" w:hint="eastAsia"/>
          <w:color w:val="000000" w:themeColor="text1"/>
          <w:sz w:val="32"/>
          <w:szCs w:val="32"/>
        </w:rPr>
        <w:t>省内院校投放计划情况</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分省分专业投放计划的制定是一个受多方因素影响的有机系统，报告尝试通过对与我院相同类型、相同专业省内高校分省投放计划的分析，弱化地理位置、专业、教学水平等影响因素，找出其中规律。</w:t>
      </w:r>
    </w:p>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通过对辽宁省内部分院校相关专业2015年省外投放计划数据的整理、分析，找出外省投放计划的共同特点，得出结论，作为我院2016年省外招生计划编制的参考依据。</w:t>
      </w:r>
    </w:p>
    <w:p w:rsidR="001F25F9" w:rsidRPr="00B14E30" w:rsidRDefault="001F25F9" w:rsidP="00080A87">
      <w:pPr>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仿宋_GB2312" w:hint="eastAsia"/>
          <w:color w:val="000000" w:themeColor="text1"/>
          <w:sz w:val="32"/>
          <w:szCs w:val="32"/>
        </w:rPr>
        <w:t>省内参考院校的选择</w:t>
      </w:r>
    </w:p>
    <w:p w:rsidR="001F25F9" w:rsidRPr="00B14E30" w:rsidRDefault="001F25F9" w:rsidP="00080A87">
      <w:pPr>
        <w:spacing w:line="560" w:lineRule="exact"/>
        <w:jc w:val="center"/>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表2.15 省内参考高校一览表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10"/>
        <w:gridCol w:w="2404"/>
        <w:gridCol w:w="1812"/>
        <w:gridCol w:w="1769"/>
        <w:gridCol w:w="1703"/>
      </w:tblGrid>
      <w:tr w:rsidR="00B14E30" w:rsidRPr="00B14E30" w:rsidTr="00D438C1">
        <w:trPr>
          <w:trHeight w:val="417"/>
          <w:jc w:val="center"/>
        </w:trPr>
        <w:tc>
          <w:tcPr>
            <w:tcW w:w="1110" w:type="dxa"/>
            <w:tcBorders>
              <w:top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b/>
                <w:color w:val="000000" w:themeColor="text1"/>
                <w:sz w:val="24"/>
                <w:szCs w:val="24"/>
              </w:rPr>
            </w:pPr>
            <w:r w:rsidRPr="00B14E30">
              <w:rPr>
                <w:rFonts w:ascii="仿宋_GB2312" w:eastAsia="仿宋_GB2312" w:hAnsi="Calibri" w:cs="仿宋_GB2312" w:hint="eastAsia"/>
                <w:b/>
                <w:color w:val="000000" w:themeColor="text1"/>
                <w:sz w:val="24"/>
                <w:szCs w:val="24"/>
              </w:rPr>
              <w:t>序号</w:t>
            </w:r>
          </w:p>
        </w:tc>
        <w:tc>
          <w:tcPr>
            <w:tcW w:w="2404" w:type="dxa"/>
            <w:tcBorders>
              <w:top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b/>
                <w:color w:val="000000" w:themeColor="text1"/>
                <w:sz w:val="24"/>
                <w:szCs w:val="24"/>
              </w:rPr>
            </w:pPr>
            <w:r w:rsidRPr="00B14E30">
              <w:rPr>
                <w:rFonts w:ascii="仿宋_GB2312" w:eastAsia="仿宋_GB2312" w:hAnsi="Calibri" w:cs="仿宋_GB2312" w:hint="eastAsia"/>
                <w:b/>
                <w:color w:val="000000" w:themeColor="text1"/>
                <w:sz w:val="24"/>
                <w:szCs w:val="24"/>
              </w:rPr>
              <w:t>学校名称</w:t>
            </w:r>
          </w:p>
        </w:tc>
        <w:tc>
          <w:tcPr>
            <w:tcW w:w="1812" w:type="dxa"/>
            <w:tcBorders>
              <w:top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b/>
                <w:color w:val="000000" w:themeColor="text1"/>
                <w:sz w:val="24"/>
                <w:szCs w:val="24"/>
              </w:rPr>
            </w:pPr>
            <w:r w:rsidRPr="00B14E30">
              <w:rPr>
                <w:rFonts w:ascii="仿宋_GB2312" w:eastAsia="仿宋_GB2312" w:hAnsi="Calibri" w:cs="仿宋_GB2312" w:hint="eastAsia"/>
                <w:b/>
                <w:color w:val="000000" w:themeColor="text1"/>
                <w:sz w:val="24"/>
                <w:szCs w:val="24"/>
              </w:rPr>
              <w:t>学校类型</w:t>
            </w:r>
          </w:p>
        </w:tc>
        <w:tc>
          <w:tcPr>
            <w:tcW w:w="1769" w:type="dxa"/>
            <w:tcBorders>
              <w:top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b/>
                <w:color w:val="000000" w:themeColor="text1"/>
                <w:sz w:val="24"/>
                <w:szCs w:val="24"/>
              </w:rPr>
            </w:pPr>
            <w:r w:rsidRPr="00B14E30">
              <w:rPr>
                <w:rFonts w:ascii="仿宋_GB2312" w:eastAsia="仿宋_GB2312" w:hAnsi="Calibri" w:cs="仿宋_GB2312" w:hint="eastAsia"/>
                <w:b/>
                <w:color w:val="000000" w:themeColor="text1"/>
                <w:sz w:val="24"/>
                <w:szCs w:val="24"/>
              </w:rPr>
              <w:t>所在地</w:t>
            </w:r>
          </w:p>
        </w:tc>
        <w:tc>
          <w:tcPr>
            <w:tcW w:w="1703" w:type="dxa"/>
            <w:tcBorders>
              <w:top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b/>
                <w:color w:val="000000" w:themeColor="text1"/>
                <w:sz w:val="24"/>
                <w:szCs w:val="24"/>
              </w:rPr>
            </w:pPr>
            <w:r w:rsidRPr="00B14E30">
              <w:rPr>
                <w:rFonts w:ascii="仿宋_GB2312" w:eastAsia="仿宋_GB2312" w:hAnsi="Calibri" w:cs="仿宋_GB2312" w:hint="eastAsia"/>
                <w:b/>
                <w:color w:val="000000" w:themeColor="text1"/>
                <w:sz w:val="24"/>
                <w:szCs w:val="24"/>
              </w:rPr>
              <w:t>省内排名</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1</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大连海事大学</w:t>
            </w:r>
          </w:p>
        </w:tc>
        <w:tc>
          <w:tcPr>
            <w:tcW w:w="1812"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大连</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6</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2</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辽宁工程技术大学</w:t>
            </w:r>
          </w:p>
        </w:tc>
        <w:tc>
          <w:tcPr>
            <w:tcW w:w="1812"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阜新</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7</w:t>
            </w:r>
          </w:p>
        </w:tc>
      </w:tr>
      <w:tr w:rsidR="00B14E30" w:rsidRPr="00B14E30" w:rsidTr="00D438C1">
        <w:trPr>
          <w:trHeight w:val="41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3</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沈阳航空航天大学</w:t>
            </w:r>
          </w:p>
        </w:tc>
        <w:tc>
          <w:tcPr>
            <w:tcW w:w="1812" w:type="dxa"/>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14</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lastRenderedPageBreak/>
              <w:t>4</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辽宁科技大学</w:t>
            </w:r>
          </w:p>
        </w:tc>
        <w:tc>
          <w:tcPr>
            <w:tcW w:w="1812" w:type="dxa"/>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鞍山</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17</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5</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辽宁工业大学</w:t>
            </w:r>
          </w:p>
        </w:tc>
        <w:tc>
          <w:tcPr>
            <w:tcW w:w="1812" w:type="dxa"/>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锦州</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20</w:t>
            </w:r>
          </w:p>
        </w:tc>
      </w:tr>
      <w:tr w:rsidR="00B14E30" w:rsidRPr="00B14E30" w:rsidTr="00D438C1">
        <w:trPr>
          <w:trHeight w:val="41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6</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沈阳理工大学</w:t>
            </w:r>
          </w:p>
        </w:tc>
        <w:tc>
          <w:tcPr>
            <w:tcW w:w="1812"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21</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7</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渤海大学</w:t>
            </w:r>
          </w:p>
        </w:tc>
        <w:tc>
          <w:tcPr>
            <w:tcW w:w="1812"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综合类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锦州</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25</w:t>
            </w:r>
          </w:p>
        </w:tc>
      </w:tr>
      <w:tr w:rsidR="00B14E30" w:rsidRPr="00B14E30" w:rsidTr="00D438C1">
        <w:trPr>
          <w:trHeight w:val="40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8</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辽宁石油化工大学</w:t>
            </w:r>
          </w:p>
        </w:tc>
        <w:tc>
          <w:tcPr>
            <w:tcW w:w="1812" w:type="dxa"/>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抚顺</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28</w:t>
            </w:r>
          </w:p>
        </w:tc>
      </w:tr>
      <w:tr w:rsidR="00B14E30" w:rsidRPr="00B14E30" w:rsidTr="00D438C1">
        <w:trPr>
          <w:trHeight w:val="417"/>
          <w:jc w:val="center"/>
        </w:trPr>
        <w:tc>
          <w:tcPr>
            <w:tcW w:w="1110"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9</w:t>
            </w:r>
          </w:p>
        </w:tc>
        <w:tc>
          <w:tcPr>
            <w:tcW w:w="2404"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沈阳工程学院</w:t>
            </w:r>
          </w:p>
        </w:tc>
        <w:tc>
          <w:tcPr>
            <w:tcW w:w="1812" w:type="dxa"/>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沈阳</w:t>
            </w:r>
          </w:p>
        </w:tc>
        <w:tc>
          <w:tcPr>
            <w:tcW w:w="1703" w:type="dxa"/>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30</w:t>
            </w:r>
          </w:p>
        </w:tc>
      </w:tr>
      <w:tr w:rsidR="00B14E30" w:rsidRPr="00B14E30" w:rsidTr="00D438C1">
        <w:trPr>
          <w:trHeight w:val="65"/>
          <w:jc w:val="center"/>
        </w:trPr>
        <w:tc>
          <w:tcPr>
            <w:tcW w:w="1110" w:type="dxa"/>
            <w:tcBorders>
              <w:bottom w:val="single" w:sz="12" w:space="0" w:color="auto"/>
            </w:tcBorders>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10</w:t>
            </w:r>
          </w:p>
        </w:tc>
        <w:tc>
          <w:tcPr>
            <w:tcW w:w="2404" w:type="dxa"/>
            <w:tcBorders>
              <w:bottom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辽宁科技学院</w:t>
            </w:r>
          </w:p>
        </w:tc>
        <w:tc>
          <w:tcPr>
            <w:tcW w:w="1812" w:type="dxa"/>
            <w:tcBorders>
              <w:bottom w:val="single" w:sz="12" w:space="0" w:color="auto"/>
            </w:tcBorders>
            <w:vAlign w:val="center"/>
          </w:tcPr>
          <w:p w:rsidR="001F25F9" w:rsidRPr="00B14E30" w:rsidRDefault="001F25F9" w:rsidP="00D438C1">
            <w:pPr>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理工类</w:t>
            </w:r>
          </w:p>
        </w:tc>
        <w:tc>
          <w:tcPr>
            <w:tcW w:w="1769" w:type="dxa"/>
            <w:tcBorders>
              <w:bottom w:val="single" w:sz="12" w:space="0" w:color="auto"/>
            </w:tcBorders>
            <w:vAlign w:val="center"/>
          </w:tcPr>
          <w:p w:rsidR="001F25F9" w:rsidRPr="00B14E30" w:rsidRDefault="001F25F9" w:rsidP="00D438C1">
            <w:pPr>
              <w:spacing w:line="560" w:lineRule="exact"/>
              <w:jc w:val="center"/>
              <w:rPr>
                <w:rFonts w:ascii="仿宋_GB2312" w:eastAsia="仿宋_GB2312" w:hAnsi="Calibri" w:cs="Times New Roman"/>
                <w:color w:val="000000" w:themeColor="text1"/>
                <w:sz w:val="24"/>
                <w:szCs w:val="24"/>
              </w:rPr>
            </w:pPr>
            <w:r w:rsidRPr="00B14E30">
              <w:rPr>
                <w:rFonts w:ascii="仿宋_GB2312" w:eastAsia="仿宋_GB2312" w:hAnsi="Calibri" w:cs="仿宋_GB2312" w:hint="eastAsia"/>
                <w:color w:val="000000" w:themeColor="text1"/>
                <w:sz w:val="24"/>
                <w:szCs w:val="24"/>
              </w:rPr>
              <w:t>本溪</w:t>
            </w:r>
          </w:p>
        </w:tc>
        <w:tc>
          <w:tcPr>
            <w:tcW w:w="1703" w:type="dxa"/>
            <w:tcBorders>
              <w:bottom w:val="single" w:sz="12" w:space="0" w:color="auto"/>
            </w:tcBorders>
            <w:vAlign w:val="center"/>
          </w:tcPr>
          <w:p w:rsidR="001F25F9" w:rsidRPr="00B14E30" w:rsidRDefault="001F25F9" w:rsidP="00D438C1">
            <w:pPr>
              <w:spacing w:line="560" w:lineRule="exact"/>
              <w:jc w:val="center"/>
              <w:rPr>
                <w:rFonts w:ascii="仿宋_GB2312" w:eastAsia="仿宋_GB2312" w:hAnsi="Calibri" w:cs="仿宋_GB2312"/>
                <w:color w:val="000000" w:themeColor="text1"/>
                <w:sz w:val="24"/>
                <w:szCs w:val="24"/>
              </w:rPr>
            </w:pPr>
            <w:r w:rsidRPr="00B14E30">
              <w:rPr>
                <w:rFonts w:ascii="仿宋_GB2312" w:eastAsia="仿宋_GB2312" w:hAnsi="Calibri" w:cs="仿宋_GB2312"/>
                <w:color w:val="000000" w:themeColor="text1"/>
                <w:sz w:val="24"/>
                <w:szCs w:val="24"/>
              </w:rPr>
              <w:t>34</w:t>
            </w:r>
          </w:p>
        </w:tc>
      </w:tr>
    </w:tbl>
    <w:p w:rsidR="001F25F9" w:rsidRPr="00B14E30" w:rsidRDefault="001F25F9" w:rsidP="00080A87">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仿宋_GB2312" w:hint="eastAsia"/>
          <w:color w:val="000000" w:themeColor="text1"/>
          <w:sz w:val="32"/>
          <w:szCs w:val="32"/>
        </w:rPr>
        <w:t>如表</w:t>
      </w:r>
      <w:r w:rsidRPr="00B14E30">
        <w:rPr>
          <w:rFonts w:ascii="仿宋_GB2312" w:eastAsia="仿宋_GB2312" w:hAnsi="Calibri" w:cs="仿宋_GB2312"/>
          <w:color w:val="000000" w:themeColor="text1"/>
          <w:sz w:val="32"/>
          <w:szCs w:val="32"/>
        </w:rPr>
        <w:t>2.</w:t>
      </w:r>
      <w:r w:rsidRPr="00B14E30">
        <w:rPr>
          <w:rFonts w:ascii="仿宋_GB2312" w:eastAsia="仿宋_GB2312" w:hAnsi="Calibri" w:cs="仿宋_GB2312" w:hint="eastAsia"/>
          <w:color w:val="000000" w:themeColor="text1"/>
          <w:sz w:val="32"/>
          <w:szCs w:val="32"/>
        </w:rPr>
        <w:t>15所示，在省内选取以理工类为主的</w:t>
      </w:r>
      <w:r w:rsidRPr="00B14E30">
        <w:rPr>
          <w:rFonts w:ascii="仿宋_GB2312" w:eastAsia="仿宋_GB2312" w:hAnsi="Calibri" w:cs="仿宋_GB2312"/>
          <w:color w:val="000000" w:themeColor="text1"/>
          <w:sz w:val="32"/>
          <w:szCs w:val="32"/>
        </w:rPr>
        <w:t>10</w:t>
      </w:r>
      <w:r w:rsidRPr="00B14E30">
        <w:rPr>
          <w:rFonts w:ascii="仿宋_GB2312" w:eastAsia="仿宋_GB2312" w:hAnsi="Calibri" w:cs="仿宋_GB2312" w:hint="eastAsia"/>
          <w:color w:val="000000" w:themeColor="text1"/>
          <w:sz w:val="32"/>
          <w:szCs w:val="32"/>
        </w:rPr>
        <w:t>所本科院校，院校综合排名及所在地分布均匀，具有一定典型性，可以代表辽宁省理工类院校的整体情况。</w:t>
      </w:r>
    </w:p>
    <w:p w:rsidR="001F25F9" w:rsidRPr="00B14E30" w:rsidRDefault="001F25F9" w:rsidP="00080A87">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参考院校省外各专业计划投放情况</w:t>
      </w:r>
    </w:p>
    <w:p w:rsidR="001F25F9" w:rsidRPr="00B14E30" w:rsidRDefault="001F25F9" w:rsidP="00080A87">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表2.16 化学类相关专业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应用化学</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沈阳工程学院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渤海大学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贵州</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河南</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内蒙古、黑龙江</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甘肃</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河北、四川</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云南</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吉林、湖北、陕西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山东、广西</w:t>
            </w:r>
          </w:p>
        </w:tc>
      </w:tr>
      <w:tr w:rsidR="00B14E30" w:rsidRPr="00B14E30" w:rsidTr="00CE6A93">
        <w:trPr>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新疆</w:t>
            </w:r>
          </w:p>
        </w:tc>
      </w:tr>
    </w:tbl>
    <w:p w:rsidR="001F25F9" w:rsidRPr="00B14E30" w:rsidRDefault="001F25F9" w:rsidP="00080A87">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1F25F9">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省内开设此专业的多数院校选择在河南、安徽、甘肃三省投放计划，且化工产业均为这三省的优势产业，可以考虑在这三省投放计划，结合前文的生源质量分析，应优先选择河南、安徽。</w:t>
      </w:r>
    </w:p>
    <w:p w:rsidR="001F25F9" w:rsidRPr="00B14E30" w:rsidRDefault="001F25F9" w:rsidP="001F25F9">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表2.17 化工与制药类相关专业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lastRenderedPageBreak/>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trHeight w:val="547"/>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化学工程与工艺</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湖北、广西</w:t>
            </w:r>
          </w:p>
        </w:tc>
      </w:tr>
      <w:tr w:rsidR="00B14E30" w:rsidRPr="00B14E30" w:rsidTr="00CE6A93">
        <w:trPr>
          <w:trHeight w:val="57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河北、吉林、黑龙江、山东、贵州、云南、陕西、新疆</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安徽、河南、四川、甘肃</w:t>
            </w:r>
          </w:p>
        </w:tc>
      </w:tr>
      <w:tr w:rsidR="00B14E30" w:rsidRPr="00B14E30" w:rsidTr="00CE6A93">
        <w:trPr>
          <w:trHeight w:val="705"/>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w:t>
            </w: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r>
    </w:tbl>
    <w:p w:rsidR="001F25F9" w:rsidRPr="00B14E30" w:rsidRDefault="001F25F9" w:rsidP="001F25F9">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1F25F9">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鉴于省内开设化工专业的院校不多，可以尝试湖北、安徽、河南等省区的投放，抢占优质生源地。</w:t>
      </w:r>
    </w:p>
    <w:p w:rsidR="001F25F9" w:rsidRPr="00B14E30" w:rsidRDefault="001F25F9" w:rsidP="001F25F9">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表2.18 机械类相关专业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机械设计制造及其自动化</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沈阳航空航天大学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辽宁工程技术大学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沈阳工程学院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广西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山西、河南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四川、贵州、甘肃、新疆</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湖北</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河北、内蒙古、吉林、黑龙江、安徽</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山东</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0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0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云南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0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50"/>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材料成型及控制工程</w:t>
            </w:r>
          </w:p>
        </w:tc>
        <w:tc>
          <w:tcPr>
            <w:tcW w:w="1985" w:type="dxa"/>
            <w:vMerge w:val="restart"/>
            <w:vAlign w:val="center"/>
          </w:tcPr>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辽宁科技大学</w:t>
            </w:r>
          </w:p>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辽宁工业大学</w:t>
            </w:r>
          </w:p>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辽宁石油化工大学</w:t>
            </w:r>
          </w:p>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辽宁科技学院</w:t>
            </w:r>
          </w:p>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辽宁工程技术大学</w:t>
            </w:r>
          </w:p>
          <w:p w:rsidR="001F25F9" w:rsidRPr="00B14E30" w:rsidRDefault="001F25F9" w:rsidP="001F25F9">
            <w:pP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沈阳理工大学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山西、广西、四川、贵州</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57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甘肃</w:t>
            </w:r>
          </w:p>
        </w:tc>
      </w:tr>
      <w:tr w:rsidR="00B14E30" w:rsidRPr="00B14E30" w:rsidTr="00CE6A93">
        <w:trPr>
          <w:trHeight w:val="34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内蒙古、湖北、陕西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云南、安徽、河南</w:t>
            </w:r>
          </w:p>
        </w:tc>
      </w:tr>
      <w:tr w:rsidR="00B14E30" w:rsidRPr="00B14E30" w:rsidTr="00CE6A93">
        <w:trPr>
          <w:trHeight w:val="34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吉林、黑龙江</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山东、新疆</w:t>
            </w:r>
          </w:p>
        </w:tc>
      </w:tr>
      <w:tr w:rsidR="00B14E30" w:rsidRPr="00B14E30" w:rsidTr="00CE6A93">
        <w:trPr>
          <w:trHeight w:val="340"/>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r>
    </w:tbl>
    <w:p w:rsidR="001F25F9" w:rsidRPr="00B14E30" w:rsidRDefault="001F25F9" w:rsidP="001F25F9">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1F25F9">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考虑到湖北省生源质量较高，建议面向湖北省投放计划。</w:t>
      </w:r>
    </w:p>
    <w:p w:rsidR="001F25F9" w:rsidRPr="00B14E30" w:rsidRDefault="001F25F9" w:rsidP="001F25F9">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lastRenderedPageBreak/>
        <w:t>表2.19 材料类相关专业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材料科学与工程</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湖北、广西</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河北、黑龙江、安徽、山东、河南、贵州、</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四川、云南、甘肃、新疆</w:t>
            </w:r>
          </w:p>
        </w:tc>
      </w:tr>
      <w:tr w:rsidR="00B14E30" w:rsidRPr="00B14E30" w:rsidTr="00CE6A93">
        <w:trPr>
          <w:trHeight w:val="537"/>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吉林</w:t>
            </w:r>
          </w:p>
        </w:tc>
      </w:tr>
      <w:tr w:rsidR="00B14E30" w:rsidRPr="00B14E30" w:rsidTr="00CE6A93">
        <w:trPr>
          <w:trHeight w:val="547"/>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无机非金属材料工程</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山西、内蒙古、山东</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57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河北、吉林、黑龙江、贵州</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河南、广西、四川</w:t>
            </w:r>
          </w:p>
        </w:tc>
      </w:tr>
      <w:tr w:rsidR="00B14E30" w:rsidRPr="00B14E30" w:rsidTr="00CE6A93">
        <w:trPr>
          <w:trHeight w:val="578"/>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安徽、湖北</w:t>
            </w:r>
          </w:p>
        </w:tc>
      </w:tr>
      <w:tr w:rsidR="00B14E30" w:rsidRPr="00B14E30" w:rsidTr="00CE6A93">
        <w:trPr>
          <w:trHeight w:val="577"/>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陕西</w:t>
            </w: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r>
    </w:tbl>
    <w:p w:rsidR="001F25F9" w:rsidRPr="00B14E30" w:rsidRDefault="001F25F9" w:rsidP="001F25F9">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080A87">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如表2.7所示，各院校对于材料类专业的省外投放比较谨慎，结合前文对于材料类专业的热度分析，应减少省外计划投放。</w:t>
      </w:r>
    </w:p>
    <w:p w:rsidR="001F25F9" w:rsidRPr="00B14E30" w:rsidRDefault="001F25F9" w:rsidP="00080A87">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表2.20 电气类相关专业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电气工程及其自动化</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辽宁工程技术大学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沈阳工程学院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渤海大学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河北、黑龙江</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河南</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内蒙古、吉林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广西、四川、山西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湖北、山东、安徽</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贵州、云南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甘肃</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0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新疆</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400"/>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陕西</w:t>
            </w: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r>
    </w:tbl>
    <w:p w:rsidR="001F25F9" w:rsidRPr="00B14E30" w:rsidRDefault="001F25F9" w:rsidP="001F25F9">
      <w:pPr>
        <w:spacing w:line="400" w:lineRule="exact"/>
        <w:ind w:firstLineChars="200" w:firstLine="420"/>
        <w:rPr>
          <w:rFonts w:ascii="仿宋_GB2312" w:eastAsia="仿宋_GB2312" w:hAnsi="Calibri" w:cs="Calibri"/>
          <w:color w:val="000000" w:themeColor="text1"/>
          <w:szCs w:val="21"/>
        </w:rPr>
      </w:pPr>
      <w:r w:rsidRPr="00B14E30">
        <w:rPr>
          <w:rFonts w:ascii="仿宋_GB2312" w:eastAsia="仿宋_GB2312" w:hAnsi="Calibri" w:cs="Calibri" w:hint="eastAsia"/>
          <w:color w:val="000000" w:themeColor="text1"/>
          <w:szCs w:val="21"/>
        </w:rPr>
        <w:t>注：“我院未投放省区”一栏仅显示我院投放计划但未投放此专业的省份。</w:t>
      </w:r>
    </w:p>
    <w:p w:rsidR="001F25F9" w:rsidRPr="00B14E30" w:rsidRDefault="001F25F9" w:rsidP="001F25F9">
      <w:pPr>
        <w:spacing w:line="560" w:lineRule="exact"/>
        <w:ind w:firstLineChars="200" w:firstLine="640"/>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可以尝试面向河南、湖北、安徽三省投放电气工程及其自动化专业。</w:t>
      </w:r>
    </w:p>
    <w:p w:rsidR="001F25F9" w:rsidRPr="00B14E30" w:rsidRDefault="001F25F9" w:rsidP="001F25F9">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lastRenderedPageBreak/>
        <w:t>表2.21 自动化类相关专业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41"/>
        <w:gridCol w:w="1985"/>
        <w:gridCol w:w="1275"/>
        <w:gridCol w:w="1843"/>
        <w:gridCol w:w="2035"/>
      </w:tblGrid>
      <w:tr w:rsidR="00B14E30" w:rsidRPr="00B14E30" w:rsidTr="00CE6A93">
        <w:trPr>
          <w:trHeight w:val="699"/>
          <w:jc w:val="center"/>
        </w:trPr>
        <w:tc>
          <w:tcPr>
            <w:tcW w:w="114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8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7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4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自动化</w:t>
            </w:r>
          </w:p>
        </w:tc>
        <w:tc>
          <w:tcPr>
            <w:tcW w:w="1985"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沈阳航空航天大学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辽宁工业大学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辽宁石油化工大学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辽宁科技学院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辽宁工程技术大学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沈阳工程学院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渤海大学</w:t>
            </w: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9</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贵州</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8</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7</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四川、甘肃</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广西</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6</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黑龙江、河南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新疆</w:t>
            </w:r>
          </w:p>
        </w:tc>
      </w:tr>
      <w:tr w:rsidR="00B14E30" w:rsidRPr="00B14E30" w:rsidTr="00CE6A93">
        <w:trPr>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5</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吉林、安徽、山东、湖北</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云南</w:t>
            </w:r>
          </w:p>
        </w:tc>
      </w:tr>
      <w:tr w:rsidR="00B14E30" w:rsidRPr="00B14E30" w:rsidTr="00CE6A93">
        <w:trPr>
          <w:trHeight w:val="400"/>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4</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内蒙古</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252"/>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252"/>
          <w:jc w:val="center"/>
        </w:trPr>
        <w:tc>
          <w:tcPr>
            <w:tcW w:w="114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陕西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trHeight w:val="252"/>
          <w:jc w:val="center"/>
        </w:trPr>
        <w:tc>
          <w:tcPr>
            <w:tcW w:w="114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85"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75"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p>
        </w:tc>
      </w:tr>
    </w:tbl>
    <w:p w:rsidR="001F25F9" w:rsidRPr="00B14E30" w:rsidRDefault="001F25F9" w:rsidP="001F25F9">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1F25F9">
      <w:pPr>
        <w:spacing w:line="560" w:lineRule="exact"/>
        <w:jc w:val="center"/>
        <w:rPr>
          <w:rFonts w:ascii="仿宋_GB2312" w:eastAsia="仿宋_GB2312" w:hAnsi="Calibri" w:cs="Calibri"/>
          <w:color w:val="000000" w:themeColor="text1"/>
          <w:sz w:val="32"/>
          <w:szCs w:val="32"/>
        </w:rPr>
      </w:pPr>
      <w:r w:rsidRPr="00B14E30">
        <w:rPr>
          <w:rFonts w:ascii="仿宋_GB2312" w:eastAsia="仿宋_GB2312" w:hAnsi="Calibri" w:cs="Calibri" w:hint="eastAsia"/>
          <w:color w:val="000000" w:themeColor="text1"/>
          <w:sz w:val="32"/>
          <w:szCs w:val="32"/>
        </w:rPr>
        <w:t>表2.22 物流管理与工程类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21"/>
        <w:gridCol w:w="1999"/>
        <w:gridCol w:w="1281"/>
        <w:gridCol w:w="1843"/>
        <w:gridCol w:w="2035"/>
      </w:tblGrid>
      <w:tr w:rsidR="00B14E30" w:rsidRPr="00B14E30" w:rsidTr="00CE6A93">
        <w:trPr>
          <w:trHeight w:val="699"/>
          <w:jc w:val="center"/>
        </w:trPr>
        <w:tc>
          <w:tcPr>
            <w:tcW w:w="112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专业名称</w:t>
            </w:r>
          </w:p>
        </w:tc>
        <w:tc>
          <w:tcPr>
            <w:tcW w:w="1999"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开设此专业院校</w:t>
            </w:r>
          </w:p>
        </w:tc>
        <w:tc>
          <w:tcPr>
            <w:tcW w:w="1281"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投放省区</w:t>
            </w:r>
          </w:p>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院校数量</w:t>
            </w:r>
          </w:p>
        </w:tc>
        <w:tc>
          <w:tcPr>
            <w:tcW w:w="1843"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我院投放省区</w:t>
            </w:r>
          </w:p>
        </w:tc>
        <w:tc>
          <w:tcPr>
            <w:tcW w:w="2035" w:type="dxa"/>
            <w:tcBorders>
              <w:top w:val="single" w:sz="12" w:space="0" w:color="auto"/>
            </w:tcBorders>
            <w:vAlign w:val="center"/>
          </w:tcPr>
          <w:p w:rsidR="001F25F9" w:rsidRPr="00B14E30" w:rsidRDefault="001F25F9" w:rsidP="001F25F9">
            <w:pPr>
              <w:widowControl/>
              <w:jc w:val="center"/>
              <w:rPr>
                <w:rFonts w:ascii="仿宋_GB2312" w:eastAsia="仿宋_GB2312" w:hAnsi="宋体" w:cs="Times New Roman"/>
                <w:b/>
                <w:color w:val="000000" w:themeColor="text1"/>
                <w:kern w:val="0"/>
                <w:szCs w:val="21"/>
              </w:rPr>
            </w:pPr>
            <w:r w:rsidRPr="00B14E30">
              <w:rPr>
                <w:rFonts w:ascii="仿宋_GB2312" w:eastAsia="仿宋_GB2312" w:hAnsi="宋体" w:cs="仿宋_GB2312" w:hint="eastAsia"/>
                <w:b/>
                <w:color w:val="000000" w:themeColor="text1"/>
                <w:kern w:val="0"/>
                <w:szCs w:val="21"/>
              </w:rPr>
              <w:t>我院未投放省区</w:t>
            </w:r>
          </w:p>
        </w:tc>
      </w:tr>
      <w:tr w:rsidR="00B14E30" w:rsidRPr="00B14E30" w:rsidTr="00CE6A93">
        <w:trPr>
          <w:jc w:val="center"/>
        </w:trPr>
        <w:tc>
          <w:tcPr>
            <w:tcW w:w="112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物流管理（文）</w:t>
            </w:r>
          </w:p>
        </w:tc>
        <w:tc>
          <w:tcPr>
            <w:tcW w:w="1999"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渤海大学</w:t>
            </w:r>
          </w:p>
        </w:tc>
        <w:tc>
          <w:tcPr>
            <w:tcW w:w="1281"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山东</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安徽、贵州、新疆</w:t>
            </w:r>
          </w:p>
        </w:tc>
      </w:tr>
      <w:tr w:rsidR="00B14E30" w:rsidRPr="00B14E30" w:rsidTr="00CE6A93">
        <w:trPr>
          <w:trHeight w:val="1266"/>
          <w:jc w:val="center"/>
        </w:trPr>
        <w:tc>
          <w:tcPr>
            <w:tcW w:w="112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99"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81"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0</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河北、内蒙古、黑龙江、四川、山西</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21" w:type="dxa"/>
            <w:vMerge w:val="restart"/>
            <w:textDirection w:val="tbRlV"/>
            <w:vAlign w:val="center"/>
          </w:tcPr>
          <w:p w:rsidR="001F25F9" w:rsidRPr="00B14E30" w:rsidRDefault="001F25F9" w:rsidP="001F25F9">
            <w:pPr>
              <w:widowControl/>
              <w:ind w:right="113"/>
              <w:jc w:val="center"/>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物流管理（理）</w:t>
            </w:r>
          </w:p>
        </w:tc>
        <w:tc>
          <w:tcPr>
            <w:tcW w:w="1999" w:type="dxa"/>
            <w:vMerge w:val="restart"/>
            <w:vAlign w:val="center"/>
          </w:tcPr>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大连海事大学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沈阳航空航天大学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沈阳工程学院</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沈阳理工大学</w:t>
            </w:r>
          </w:p>
          <w:p w:rsidR="001F25F9" w:rsidRPr="00B14E30" w:rsidRDefault="001F25F9" w:rsidP="001F25F9">
            <w:pPr>
              <w:widowControl/>
              <w:jc w:val="left"/>
              <w:rPr>
                <w:rFonts w:ascii="仿宋_GB2312" w:eastAsia="仿宋_GB2312" w:hAnsi="宋体" w:cs="Times New Roman"/>
                <w:color w:val="000000" w:themeColor="text1"/>
                <w:kern w:val="0"/>
                <w:szCs w:val="21"/>
              </w:rPr>
            </w:pPr>
            <w:r w:rsidRPr="00B14E30">
              <w:rPr>
                <w:rFonts w:ascii="仿宋_GB2312" w:eastAsia="仿宋_GB2312" w:hAnsi="宋体" w:cs="仿宋_GB2312" w:hint="eastAsia"/>
                <w:color w:val="000000" w:themeColor="text1"/>
                <w:kern w:val="0"/>
                <w:szCs w:val="21"/>
              </w:rPr>
              <w:t>渤海大学</w:t>
            </w:r>
          </w:p>
        </w:tc>
        <w:tc>
          <w:tcPr>
            <w:tcW w:w="1281"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3</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安徽、河南、贵州、甘肃</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p>
        </w:tc>
      </w:tr>
      <w:tr w:rsidR="00B14E30" w:rsidRPr="00B14E30" w:rsidTr="00CE6A93">
        <w:trPr>
          <w:jc w:val="center"/>
        </w:trPr>
        <w:tc>
          <w:tcPr>
            <w:tcW w:w="1121"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99" w:type="dxa"/>
            <w:vMerge/>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81" w:type="dxa"/>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2</w:t>
            </w:r>
          </w:p>
        </w:tc>
        <w:tc>
          <w:tcPr>
            <w:tcW w:w="1843"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河北、内蒙古、吉林、黑龙江、山东、四川</w:t>
            </w:r>
          </w:p>
        </w:tc>
        <w:tc>
          <w:tcPr>
            <w:tcW w:w="2035" w:type="dxa"/>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云南</w:t>
            </w:r>
          </w:p>
        </w:tc>
      </w:tr>
      <w:tr w:rsidR="00B14E30" w:rsidRPr="00B14E30" w:rsidTr="00CE6A93">
        <w:trPr>
          <w:trHeight w:val="400"/>
          <w:jc w:val="center"/>
        </w:trPr>
        <w:tc>
          <w:tcPr>
            <w:tcW w:w="1121"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999" w:type="dxa"/>
            <w:vMerge/>
            <w:tcBorders>
              <w:bottom w:val="single" w:sz="12" w:space="0" w:color="auto"/>
            </w:tcBorders>
            <w:vAlign w:val="center"/>
          </w:tcPr>
          <w:p w:rsidR="001F25F9" w:rsidRPr="00B14E30" w:rsidRDefault="001F25F9" w:rsidP="001F25F9">
            <w:pPr>
              <w:widowControl/>
              <w:jc w:val="center"/>
              <w:rPr>
                <w:rFonts w:ascii="仿宋_GB2312" w:eastAsia="仿宋_GB2312" w:hAnsi="宋体" w:cs="Times New Roman"/>
                <w:color w:val="000000" w:themeColor="text1"/>
                <w:kern w:val="0"/>
                <w:szCs w:val="21"/>
              </w:rPr>
            </w:pPr>
          </w:p>
        </w:tc>
        <w:tc>
          <w:tcPr>
            <w:tcW w:w="1281" w:type="dxa"/>
            <w:tcBorders>
              <w:bottom w:val="single" w:sz="12" w:space="0" w:color="auto"/>
            </w:tcBorders>
            <w:vAlign w:val="center"/>
          </w:tcPr>
          <w:p w:rsidR="001F25F9" w:rsidRPr="00B14E30" w:rsidRDefault="001F25F9" w:rsidP="001F25F9">
            <w:pPr>
              <w:widowControl/>
              <w:jc w:val="center"/>
              <w:rPr>
                <w:rFonts w:ascii="仿宋_GB2312" w:eastAsia="仿宋_GB2312" w:hAnsi="宋体" w:cs="仿宋_GB2312"/>
                <w:color w:val="000000" w:themeColor="text1"/>
                <w:kern w:val="0"/>
                <w:szCs w:val="21"/>
              </w:rPr>
            </w:pPr>
            <w:r w:rsidRPr="00B14E30">
              <w:rPr>
                <w:rFonts w:ascii="仿宋_GB2312" w:eastAsia="仿宋_GB2312" w:hAnsi="宋体" w:cs="仿宋_GB2312"/>
                <w:color w:val="000000" w:themeColor="text1"/>
                <w:kern w:val="0"/>
                <w:szCs w:val="21"/>
              </w:rPr>
              <w:t>1</w:t>
            </w:r>
          </w:p>
        </w:tc>
        <w:tc>
          <w:tcPr>
            <w:tcW w:w="1843"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山西、湖北</w:t>
            </w:r>
          </w:p>
        </w:tc>
        <w:tc>
          <w:tcPr>
            <w:tcW w:w="2035" w:type="dxa"/>
            <w:tcBorders>
              <w:bottom w:val="single" w:sz="12" w:space="0" w:color="auto"/>
            </w:tcBorders>
            <w:vAlign w:val="center"/>
          </w:tcPr>
          <w:p w:rsidR="001F25F9" w:rsidRPr="00B14E30" w:rsidRDefault="001F25F9" w:rsidP="001F25F9">
            <w:pPr>
              <w:jc w:val="center"/>
              <w:rPr>
                <w:rFonts w:ascii="仿宋_GB2312" w:eastAsia="仿宋_GB2312" w:hAnsi="Calibri" w:cs="Times New Roman"/>
                <w:color w:val="000000" w:themeColor="text1"/>
                <w:szCs w:val="21"/>
              </w:rPr>
            </w:pPr>
            <w:r w:rsidRPr="00B14E30">
              <w:rPr>
                <w:rFonts w:ascii="仿宋_GB2312" w:eastAsia="仿宋_GB2312" w:hAnsi="Calibri" w:cs="仿宋_GB2312" w:hint="eastAsia"/>
                <w:color w:val="000000" w:themeColor="text1"/>
                <w:szCs w:val="21"/>
              </w:rPr>
              <w:t>广西、新疆</w:t>
            </w:r>
          </w:p>
        </w:tc>
      </w:tr>
    </w:tbl>
    <w:p w:rsidR="001F25F9" w:rsidRPr="00B14E30" w:rsidRDefault="001F25F9" w:rsidP="001F25F9">
      <w:pPr>
        <w:ind w:firstLineChars="200" w:firstLine="420"/>
        <w:rPr>
          <w:rFonts w:ascii="仿宋_GB2312" w:eastAsia="仿宋_GB2312" w:hAnsi="Calibri" w:cs="仿宋_GB2312"/>
          <w:color w:val="000000" w:themeColor="text1"/>
          <w:kern w:val="0"/>
          <w:szCs w:val="21"/>
          <w:lang w:val="zh-CN"/>
        </w:rPr>
      </w:pPr>
      <w:r w:rsidRPr="00B14E30">
        <w:rPr>
          <w:rFonts w:ascii="仿宋_GB2312" w:eastAsia="仿宋_GB2312" w:hAnsi="Calibri" w:cs="仿宋_GB2312" w:hint="eastAsia"/>
          <w:color w:val="000000" w:themeColor="text1"/>
          <w:kern w:val="0"/>
          <w:szCs w:val="21"/>
          <w:lang w:val="zh-CN"/>
        </w:rPr>
        <w:t>注：“我院未投放省区”一栏仅显示我院投放计划但未投放此专业的省份。</w:t>
      </w:r>
    </w:p>
    <w:p w:rsidR="001F25F9" w:rsidRPr="00B14E30" w:rsidRDefault="001F25F9" w:rsidP="001F25F9">
      <w:pPr>
        <w:spacing w:line="560" w:lineRule="exact"/>
        <w:ind w:firstLineChars="200" w:firstLine="640"/>
        <w:rPr>
          <w:rFonts w:ascii="仿宋_GB2312" w:eastAsia="仿宋_GB2312" w:hAnsi="Calibri" w:cs="仿宋_GB2312"/>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在大部分省区的计划投放上，我院和省内高校能够保持一致，但对于河南省、湖北省、安徽省、甘肃省等地区投放专业上还略显保守。</w:t>
      </w:r>
    </w:p>
    <w:p w:rsidR="001F25F9" w:rsidRPr="00B14E30" w:rsidRDefault="001F25F9" w:rsidP="001F25F9">
      <w:pPr>
        <w:widowControl/>
        <w:spacing w:line="560" w:lineRule="exact"/>
        <w:ind w:firstLineChars="200" w:firstLine="568"/>
        <w:rPr>
          <w:rFonts w:ascii="楷体_GB2312" w:eastAsia="楷体_GB2312" w:hAnsi="Calibri" w:cs="Times New Roman"/>
          <w:color w:val="000000" w:themeColor="text1"/>
          <w:sz w:val="32"/>
          <w:szCs w:val="32"/>
        </w:rPr>
      </w:pPr>
      <w:r w:rsidRPr="00B14E30">
        <w:rPr>
          <w:rFonts w:ascii="楷体_GB2312" w:eastAsia="楷体_GB2312" w:hAnsi="Calibri" w:cs="Times New Roman" w:hint="eastAsia"/>
          <w:color w:val="000000" w:themeColor="text1"/>
          <w:spacing w:val="-18"/>
          <w:sz w:val="32"/>
          <w:szCs w:val="32"/>
        </w:rPr>
        <w:t>（</w:t>
      </w:r>
      <w:r w:rsidRPr="00B14E30">
        <w:rPr>
          <w:rFonts w:ascii="楷体_GB2312" w:eastAsia="楷体_GB2312" w:hAnsi="宋体" w:cs="宋体" w:hint="eastAsia"/>
          <w:color w:val="000000" w:themeColor="text1"/>
          <w:spacing w:val="-18"/>
          <w:sz w:val="32"/>
          <w:szCs w:val="32"/>
        </w:rPr>
        <w:t>三</w:t>
      </w:r>
      <w:r w:rsidRPr="00B14E30">
        <w:rPr>
          <w:rFonts w:ascii="楷体_GB2312" w:eastAsia="楷体_GB2312" w:hAnsi="Calibri" w:cs="Times New Roman" w:hint="eastAsia"/>
          <w:color w:val="000000" w:themeColor="text1"/>
          <w:spacing w:val="-18"/>
          <w:sz w:val="32"/>
          <w:szCs w:val="32"/>
        </w:rPr>
        <w:t>）2016年辽宁省高考改革</w:t>
      </w:r>
      <w:r w:rsidR="00080A87" w:rsidRPr="00B14E30">
        <w:rPr>
          <w:rFonts w:ascii="楷体_GB2312" w:eastAsia="楷体_GB2312" w:hAnsi="Calibri" w:cs="Times New Roman" w:hint="eastAsia"/>
          <w:color w:val="000000" w:themeColor="text1"/>
          <w:spacing w:val="-18"/>
          <w:sz w:val="32"/>
          <w:szCs w:val="32"/>
        </w:rPr>
        <w:t>影响</w:t>
      </w:r>
      <w:r w:rsidR="00D438C1" w:rsidRPr="00B14E30">
        <w:rPr>
          <w:rFonts w:ascii="楷体_GB2312" w:eastAsia="楷体_GB2312" w:hAnsi="Calibri" w:cs="Times New Roman" w:hint="eastAsia"/>
          <w:color w:val="000000" w:themeColor="text1"/>
          <w:spacing w:val="-18"/>
          <w:sz w:val="32"/>
          <w:szCs w:val="32"/>
        </w:rPr>
        <w:t>情况</w:t>
      </w:r>
      <w:r w:rsidRPr="00B14E30">
        <w:rPr>
          <w:rFonts w:ascii="楷体_GB2312" w:eastAsia="楷体_GB2312" w:hAnsi="Calibri" w:cs="Times New Roman" w:hint="eastAsia"/>
          <w:color w:val="000000" w:themeColor="text1"/>
          <w:spacing w:val="-18"/>
          <w:sz w:val="32"/>
          <w:szCs w:val="32"/>
        </w:rPr>
        <w:t>分析</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lastRenderedPageBreak/>
        <w:t>1月27日，辽宁省两会期间，辽宁省研究制定了《辽宁省深化考试招生制度改革的实施方案》（以下简称：《方案》）明确“从2016年起，取消一批本科A、B段的设置，统一为一批本科；三批本科合并到二批本科。”这是辽宁省继艺术类合并批次以后，普通类高考录取批次进行的一次重要调整。</w:t>
      </w:r>
    </w:p>
    <w:p w:rsidR="001F25F9" w:rsidRPr="00B14E30" w:rsidRDefault="001F25F9" w:rsidP="00CB0F30">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1．录取批次调整的背景</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（1）第二、三批本科的概念</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第二批本科简称“二本”，是指在中国普通高考录取招生的时候在本科层次第二批次招生的学校，录取线一般要达到本科二批录取线。本科二批院校通常包括部分地方所属高等院校（包括部分地方所属的重点大学和一般高校）和少数实力较好的普通民办高校和独立学院。其中公办院校办学经费由国家财政拨付，学费由物价局统一核定。</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第三批本科简称“三本”，是指在中国普通高考录取招生的时候在本科层次第三批次招生的学校。录取线要低于本科二批线，本科三批院校通常包括部分独立学院和部分民办高校，办学成本较高，由学校自主确定学费收取标准。</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（2）录取批次调整的背景</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2015年教育部下发《关于做好2015年普通高校招生工作的通知》，要求全面落实《国务院关于深化考试招生制度改革的实施意见》，并明确要改进投档录取模式，推进并完善平行志愿投档录取方式，适当增加平行志愿数量；鼓励有条件的省份探索“一</w:t>
      </w:r>
      <w:r w:rsidRPr="00B14E30">
        <w:rPr>
          <w:rFonts w:ascii="仿宋_GB2312" w:eastAsia="仿宋_GB2312" w:hAnsi="Calibri" w:cs="Times New Roman" w:hint="eastAsia"/>
          <w:color w:val="000000" w:themeColor="text1"/>
          <w:sz w:val="32"/>
          <w:szCs w:val="32"/>
        </w:rPr>
        <w:lastRenderedPageBreak/>
        <w:t>档多投”录取模式，依据考生志愿将档案同时投放多所高校，逐步减少高校招生录取批次。</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此次本科合并也在着力破除分批次录取所带来的弊端，由于高校在录取时被划分在不同批次，无论报考或是就业对民办院校与独立院校都存在明显的歧视之嫌，调整后对促进教育与就业公平具有重要意义。</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截止到2016年2月25日，上海、天津、河北、浙江、山东、福建、四川、广西、湖北、江西、辽宁、广东、内蒙古已取消第三批次本科。其中河北、辽宁、湖北、江西、广东为2016年第一次实施。</w:t>
      </w:r>
    </w:p>
    <w:p w:rsidR="001F25F9" w:rsidRPr="00B14E30" w:rsidRDefault="001F25F9" w:rsidP="00CB0F30">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2．录取批次调整后对我院招生工作的影响</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此次录取批次调整，对在省内招生的三批次本科院校是一个利好的消息，对二批次院校，特别是公办院校，则面临着机遇与挑战并存，冲击和促进相伴的局面，就我院而言，对招生工作的影响诸多，具体如下：</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（1）二批次省控线下降</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控制分数线的变化主要取决于3个因素：各批次院校在各地的招生计划数；全体考生高考成绩总体水平和各分数段考生的人数情况；按统计学规律确定的划线系数，确保高校有一定的生源选择余地。在其它因素不变的情况下，由于二、三批次合并，增加了二本院校的数量，二本计划也随之增加，二批次省控线必将较往年有所下降。</w:t>
      </w:r>
    </w:p>
    <w:p w:rsidR="001F25F9" w:rsidRPr="00B14E30" w:rsidRDefault="001F25F9" w:rsidP="00CB0F30">
      <w:pPr>
        <w:widowControl/>
        <w:spacing w:line="560" w:lineRule="exact"/>
        <w:ind w:firstLineChars="200" w:firstLine="640"/>
        <w:rPr>
          <w:rFonts w:ascii="仿宋_GB2312" w:eastAsia="仿宋_GB2312" w:hAnsi="Calibri" w:cs="经典叠圆体简"/>
          <w:color w:val="000000" w:themeColor="text1"/>
          <w:sz w:val="32"/>
          <w:szCs w:val="32"/>
        </w:rPr>
      </w:pPr>
      <w:r w:rsidRPr="00B14E30">
        <w:rPr>
          <w:rFonts w:ascii="仿宋_GB2312" w:eastAsia="仿宋_GB2312" w:hAnsi="Calibri" w:cs="经典叠圆体简" w:hint="eastAsia"/>
          <w:color w:val="000000" w:themeColor="text1"/>
          <w:sz w:val="32"/>
          <w:szCs w:val="32"/>
        </w:rPr>
        <w:lastRenderedPageBreak/>
        <w:t>（2）学院生源基数增大</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由于受传统观念及学费的影响，二、三批次合并后，除了原占主体地位的线上10—20分的考生仍然会报考我院外，成绩略低于原二批次省控线的大批考生，也会因公办本科院校的性质，在原二批次和三批次院校的选择上倾向前者，在填报志愿期间，将我院放在靠前的位置，所以我院的生源来源面将会扩大。</w:t>
      </w:r>
    </w:p>
    <w:p w:rsidR="00806AC1" w:rsidRPr="00B14E30" w:rsidRDefault="00806AC1"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（3）生源质量受影响不大</w:t>
      </w:r>
    </w:p>
    <w:p w:rsidR="001F25F9" w:rsidRPr="00B14E30" w:rsidRDefault="00806AC1"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从短期看，由于政策调整带来的后续影响还没有完全显现，而且我院在辽宁省已具有一定的知名度，虽然政策发生变化，但广大考生和家长对学院的定位不会发生变化，报考我院的考生仍会稳定在往年的层次，所以学院今年录取考生的生源质量预计不会出现大幅波动。但从长期看，随着政策效应的显现和制度的不断完善，以及社会观念的革新，会有大量原三本院校异军突起，抢占二本院校生源，对我院必然会带来一定的冲击，不排除生源质量出现降低的情况。</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（4）学院录取最低分差有一定幅度提高</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由于今年二批次省控线会出现一定程度的下降，相应的我院在辽宁省的录取最低分与控制线分差将会有一定幅度的提高。</w:t>
      </w:r>
    </w:p>
    <w:p w:rsidR="001F25F9" w:rsidRPr="00B14E30" w:rsidRDefault="001F25F9" w:rsidP="00CB0F30">
      <w:pPr>
        <w:widowControl/>
        <w:spacing w:line="560" w:lineRule="exact"/>
        <w:ind w:firstLineChars="200" w:firstLine="640"/>
        <w:rPr>
          <w:rFonts w:ascii="黑体" w:eastAsia="黑体" w:hAnsi="黑体" w:cs="宋体"/>
          <w:color w:val="000000" w:themeColor="text1"/>
          <w:sz w:val="32"/>
          <w:szCs w:val="32"/>
        </w:rPr>
      </w:pPr>
      <w:r w:rsidRPr="00B14E30">
        <w:rPr>
          <w:rFonts w:ascii="黑体" w:eastAsia="黑体" w:hAnsi="黑体" w:cs="宋体" w:hint="eastAsia"/>
          <w:color w:val="000000" w:themeColor="text1"/>
          <w:sz w:val="32"/>
          <w:szCs w:val="32"/>
        </w:rPr>
        <w:t>三、研究结论</w:t>
      </w:r>
    </w:p>
    <w:p w:rsidR="001F25F9" w:rsidRPr="00B14E30" w:rsidRDefault="001F25F9" w:rsidP="00CB0F30">
      <w:pPr>
        <w:widowControl/>
        <w:spacing w:line="560" w:lineRule="exact"/>
        <w:ind w:firstLineChars="200" w:firstLine="640"/>
        <w:rPr>
          <w:rFonts w:ascii="楷体_GB2312" w:eastAsia="楷体_GB2312" w:hAnsi="黑体" w:cs="宋体"/>
          <w:color w:val="000000" w:themeColor="text1"/>
          <w:sz w:val="32"/>
          <w:szCs w:val="32"/>
        </w:rPr>
      </w:pPr>
      <w:r w:rsidRPr="00B14E30">
        <w:rPr>
          <w:rFonts w:ascii="楷体_GB2312" w:eastAsia="楷体_GB2312" w:hAnsi="黑体" w:cs="宋体" w:hint="eastAsia"/>
          <w:color w:val="000000" w:themeColor="text1"/>
          <w:sz w:val="32"/>
          <w:szCs w:val="32"/>
        </w:rPr>
        <w:t>（一）招生宣传方面</w:t>
      </w:r>
    </w:p>
    <w:p w:rsidR="001F25F9" w:rsidRPr="00B14E30" w:rsidRDefault="001F25F9" w:rsidP="00CB0F30">
      <w:pPr>
        <w:widowControl/>
        <w:spacing w:line="560" w:lineRule="exact"/>
        <w:ind w:firstLineChars="200" w:firstLine="640"/>
        <w:rPr>
          <w:rFonts w:ascii="仿宋_GB2312" w:eastAsia="仿宋_GB2312" w:hAnsi="黑体" w:cs="宋体"/>
          <w:color w:val="000000" w:themeColor="text1"/>
          <w:sz w:val="32"/>
          <w:szCs w:val="32"/>
        </w:rPr>
      </w:pPr>
      <w:r w:rsidRPr="00B14E30">
        <w:rPr>
          <w:rFonts w:ascii="仿宋_GB2312" w:eastAsia="仿宋_GB2312" w:hAnsi="黑体" w:cs="宋体" w:hint="eastAsia"/>
          <w:color w:val="000000" w:themeColor="text1"/>
          <w:sz w:val="32"/>
          <w:szCs w:val="32"/>
        </w:rPr>
        <w:t>1．宣传媒体的选择</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color w:val="000000" w:themeColor="text1"/>
          <w:sz w:val="32"/>
          <w:szCs w:val="32"/>
        </w:rPr>
        <w:t>（</w:t>
      </w:r>
      <w:r w:rsidRPr="00B14E30">
        <w:rPr>
          <w:rFonts w:ascii="仿宋_GB2312" w:eastAsia="仿宋_GB2312" w:hAnsi="Calibri" w:cs="Times New Roman" w:hint="eastAsia"/>
          <w:color w:val="000000" w:themeColor="text1"/>
          <w:sz w:val="32"/>
          <w:szCs w:val="32"/>
        </w:rPr>
        <w:t>1</w:t>
      </w:r>
      <w:r w:rsidRPr="00B14E30">
        <w:rPr>
          <w:rFonts w:ascii="仿宋_GB2312" w:eastAsia="仿宋_GB2312" w:hAnsi="Calibri" w:cs="Times New Roman"/>
          <w:color w:val="000000" w:themeColor="text1"/>
          <w:sz w:val="32"/>
          <w:szCs w:val="32"/>
        </w:rPr>
        <w:t>）</w:t>
      </w:r>
      <w:r w:rsidRPr="00B14E30">
        <w:rPr>
          <w:rFonts w:ascii="仿宋_GB2312" w:eastAsia="仿宋_GB2312" w:hAnsi="Calibri" w:cs="Times New Roman" w:hint="eastAsia"/>
          <w:color w:val="000000" w:themeColor="text1"/>
          <w:sz w:val="32"/>
          <w:szCs w:val="32"/>
        </w:rPr>
        <w:t>打破常规，树立“大宣传”工作理念</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lastRenderedPageBreak/>
        <w:t>首先要建立招生宣传长效机制，摒弃为了招生而宣传、招生时再宣传的观念和做法，加强日常工作，推进招生宣传工作常态化。其次要注重学校整体形象甚至所在区域整体优势的宣传，结合学校发展建设、办学特色、人才培养等方面的成就以及区域社会经济发展态势，及时、适时地在媒体上进行宣传。</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color w:val="000000" w:themeColor="text1"/>
          <w:sz w:val="32"/>
          <w:szCs w:val="32"/>
        </w:rPr>
        <w:t>（</w:t>
      </w:r>
      <w:r w:rsidRPr="00B14E30">
        <w:rPr>
          <w:rFonts w:ascii="仿宋_GB2312" w:eastAsia="仿宋_GB2312" w:hAnsi="Calibri" w:cs="Times New Roman" w:hint="eastAsia"/>
          <w:color w:val="000000" w:themeColor="text1"/>
          <w:sz w:val="32"/>
          <w:szCs w:val="32"/>
        </w:rPr>
        <w:t>2</w:t>
      </w:r>
      <w:r w:rsidRPr="00B14E30">
        <w:rPr>
          <w:rFonts w:ascii="仿宋_GB2312" w:eastAsia="仿宋_GB2312" w:hAnsi="Calibri" w:cs="Times New Roman"/>
          <w:color w:val="000000" w:themeColor="text1"/>
          <w:sz w:val="32"/>
          <w:szCs w:val="32"/>
        </w:rPr>
        <w:t>）</w:t>
      </w:r>
      <w:r w:rsidRPr="00B14E30">
        <w:rPr>
          <w:rFonts w:ascii="仿宋_GB2312" w:eastAsia="仿宋_GB2312" w:hAnsi="Calibri" w:cs="Times New Roman" w:hint="eastAsia"/>
          <w:color w:val="000000" w:themeColor="text1"/>
          <w:sz w:val="32"/>
          <w:szCs w:val="32"/>
        </w:rPr>
        <w:t>创新模式，进一步加大招生宣传力度</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在今后的工作中，要敢于在新形势下主动出击，抢占招生宣传制高点，并且要善于主动出击，增强招生宣传的针对性，充分考虑宣传受众群体的身份角色，合理搭配招生宣传方式。在宣传内容上，要继续以宣传学校所在区域的整体形象、区位优势为突破口进行招生宣传；要全面介绍学校就业发展前景和校园环境、基础硬件、学科发展等内容；在组织机构上，要加大招生信息服务中心的建设力度；在宣传方式上，要继续动员在校生进行招生宣传，采取“学子母校行、给班主任老师的一封信”等多种活动与生源地高中建立长效合作关系。</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（3）多措并举，构建灵活多样的宣传体系</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一是以网络媒体新媒体为主，加强宣传的时效性。加强学校网站建设，充分发挥网络宣传高效快捷的优势，提炼学校办学特色和优势，挖掘校园文化内涵亮点，及时更新信息，展现学校发展的新貌，特别是要将学生关注的，能反映学校办学实力、教学环境、毕业生就业、食宿条件、文化生活等方面内容，以视频或图片形式进行展示，使学生形成直观印象，利于学生选择报考我</w:t>
      </w:r>
      <w:r w:rsidRPr="00B14E30">
        <w:rPr>
          <w:rFonts w:ascii="仿宋_GB2312" w:eastAsia="仿宋_GB2312" w:hAnsi="Calibri" w:cs="Times New Roman" w:hint="eastAsia"/>
          <w:color w:val="000000" w:themeColor="text1"/>
          <w:sz w:val="32"/>
          <w:szCs w:val="32"/>
        </w:rPr>
        <w:lastRenderedPageBreak/>
        <w:t>校。二是以社会活动为辅，扩大学校社会影响力，精心培育优质生源市场。学校可通过设立国家级考试考点、主办学术研讨会、开设社会知名人士讲座、组织师生参与各种竞赛、科研、公益等社会活动，创造机会吸引社会群体来校参观交流，以扩大学校的社会影响力，提升学校社会声誉，为学校培育广泛的生源市场。</w:t>
      </w:r>
    </w:p>
    <w:p w:rsidR="001F25F9" w:rsidRPr="00B14E30" w:rsidRDefault="001F25F9" w:rsidP="00CB0F30">
      <w:pPr>
        <w:widowControl/>
        <w:spacing w:line="560" w:lineRule="exact"/>
        <w:ind w:firstLineChars="200" w:firstLine="640"/>
        <w:rPr>
          <w:rFonts w:ascii="仿宋_GB2312" w:eastAsia="仿宋_GB2312" w:hAnsi="黑体" w:cs="Times New Roman"/>
          <w:color w:val="000000" w:themeColor="text1"/>
          <w:sz w:val="32"/>
          <w:szCs w:val="32"/>
        </w:rPr>
      </w:pPr>
      <w:r w:rsidRPr="00B14E30">
        <w:rPr>
          <w:rFonts w:ascii="仿宋_GB2312" w:eastAsia="仿宋_GB2312" w:hAnsi="黑体" w:cs="Times New Roman" w:hint="eastAsia"/>
          <w:color w:val="000000" w:themeColor="text1"/>
          <w:sz w:val="32"/>
          <w:szCs w:val="32"/>
        </w:rPr>
        <w:t>（4）推陈出新，确定招生宣传材料改版思路</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第一，招生简章，内容上删繁就简，凝练文字，适当增加图片，提高易读性，增加名师介绍板块等。形式上避免刻板，应生动活泼，灵活多变，富有时代气息；语言亲切自然，贴近考生生活，可适度运用网络语言。第二，招生网站改版，版面整体风格应简约化，相关内容一目了然，如高考录取查询等热点信息置于网站首页，增强页面逻辑性，尽量避免网站“迷路”情况。</w:t>
      </w:r>
    </w:p>
    <w:p w:rsidR="001F25F9" w:rsidRPr="00B14E30" w:rsidRDefault="001F25F9"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2．宣传区域的选择</w:t>
      </w:r>
    </w:p>
    <w:p w:rsidR="001F25F9" w:rsidRPr="00B14E30" w:rsidRDefault="001F25F9"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（1）区域宣传</w:t>
      </w:r>
    </w:p>
    <w:p w:rsidR="001F25F9" w:rsidRPr="00B14E30" w:rsidRDefault="001F25F9"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辽西地区（锦州、阜新、朝阳、葫芦岛）呈现出“3多”现象，即内陆城市比较多，县级市比较多，生源比较多，且高等教育资源有限，建议可将辽西地区作为我院重点生源地和核心区域。辽中地区（沈阳、鞍山、辽阳）教育资源丰富，且地处内陆，我院面临着机遇与挑战并存的宣传局面，建议有选择性的进行宣传。我院在辽南地区（大连、营口、盘锦）并无地域优势，建议暂不列为重点宣传区域。</w:t>
      </w:r>
    </w:p>
    <w:p w:rsidR="001F25F9" w:rsidRPr="00B14E30" w:rsidRDefault="001F25F9"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hint="eastAsia"/>
          <w:color w:val="000000" w:themeColor="text1"/>
          <w:sz w:val="32"/>
          <w:szCs w:val="32"/>
        </w:rPr>
        <w:t>（2）城市宣传</w:t>
      </w:r>
    </w:p>
    <w:p w:rsidR="001F25F9" w:rsidRPr="00B14E30" w:rsidRDefault="003E5B9B"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color w:val="000000" w:themeColor="text1"/>
          <w:sz w:val="32"/>
          <w:szCs w:val="32"/>
        </w:rPr>
        <w:lastRenderedPageBreak/>
        <w:fldChar w:fldCharType="begin"/>
      </w:r>
      <w:r w:rsidR="001F25F9" w:rsidRPr="00B14E30">
        <w:rPr>
          <w:rFonts w:ascii="仿宋_GB2312" w:eastAsia="仿宋_GB2312" w:hAnsi="仿宋" w:cs="Times New Roman"/>
          <w:color w:val="000000" w:themeColor="text1"/>
          <w:sz w:val="32"/>
          <w:szCs w:val="32"/>
        </w:rPr>
        <w:instrText xml:space="preserve"> </w:instrText>
      </w:r>
      <w:r w:rsidR="001F25F9" w:rsidRPr="00B14E30">
        <w:rPr>
          <w:rFonts w:ascii="仿宋_GB2312" w:eastAsia="仿宋_GB2312" w:hAnsi="仿宋" w:cs="Times New Roman" w:hint="eastAsia"/>
          <w:color w:val="000000" w:themeColor="text1"/>
          <w:sz w:val="32"/>
          <w:szCs w:val="32"/>
        </w:rPr>
        <w:instrText>= 1 \* GB3</w:instrText>
      </w:r>
      <w:r w:rsidR="001F25F9" w:rsidRPr="00B14E30">
        <w:rPr>
          <w:rFonts w:ascii="仿宋_GB2312" w:eastAsia="仿宋_GB2312" w:hAnsi="仿宋" w:cs="Times New Roman"/>
          <w:color w:val="000000" w:themeColor="text1"/>
          <w:sz w:val="32"/>
          <w:szCs w:val="32"/>
        </w:rPr>
        <w:instrText xml:space="preserve"> </w:instrText>
      </w:r>
      <w:r w:rsidRPr="00B14E30">
        <w:rPr>
          <w:rFonts w:ascii="仿宋_GB2312" w:eastAsia="仿宋_GB2312" w:hAnsi="仿宋" w:cs="Times New Roman"/>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①</w:t>
      </w:r>
      <w:r w:rsidRPr="00B14E30">
        <w:rPr>
          <w:rFonts w:ascii="仿宋_GB2312" w:eastAsia="仿宋_GB2312" w:hAnsi="仿宋" w:cs="Times New Roman"/>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沈阳和大连因教育质量高、生源基数大、高级中学多，可重点宣传。但因其高中区域分布分散，高中生源比较平均，可选择重点高中进行宣传。</w:t>
      </w:r>
    </w:p>
    <w:p w:rsidR="001F25F9" w:rsidRPr="00B14E30" w:rsidRDefault="003E5B9B"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color w:val="000000" w:themeColor="text1"/>
          <w:sz w:val="32"/>
          <w:szCs w:val="32"/>
        </w:rPr>
        <w:fldChar w:fldCharType="begin"/>
      </w:r>
      <w:r w:rsidR="001F25F9" w:rsidRPr="00B14E30">
        <w:rPr>
          <w:rFonts w:ascii="仿宋_GB2312" w:eastAsia="仿宋_GB2312" w:hAnsi="仿宋" w:cs="Times New Roman"/>
          <w:color w:val="000000" w:themeColor="text1"/>
          <w:sz w:val="32"/>
          <w:szCs w:val="32"/>
        </w:rPr>
        <w:instrText xml:space="preserve"> </w:instrText>
      </w:r>
      <w:r w:rsidR="001F25F9" w:rsidRPr="00B14E30">
        <w:rPr>
          <w:rFonts w:ascii="仿宋_GB2312" w:eastAsia="仿宋_GB2312" w:hAnsi="仿宋" w:cs="Times New Roman" w:hint="eastAsia"/>
          <w:color w:val="000000" w:themeColor="text1"/>
          <w:sz w:val="32"/>
          <w:szCs w:val="32"/>
        </w:rPr>
        <w:instrText>= 2 \* GB3</w:instrText>
      </w:r>
      <w:r w:rsidR="001F25F9" w:rsidRPr="00B14E30">
        <w:rPr>
          <w:rFonts w:ascii="仿宋_GB2312" w:eastAsia="仿宋_GB2312" w:hAnsi="仿宋" w:cs="Times New Roman"/>
          <w:color w:val="000000" w:themeColor="text1"/>
          <w:sz w:val="32"/>
          <w:szCs w:val="32"/>
        </w:rPr>
        <w:instrText xml:space="preserve"> </w:instrText>
      </w:r>
      <w:r w:rsidRPr="00B14E30">
        <w:rPr>
          <w:rFonts w:ascii="仿宋_GB2312" w:eastAsia="仿宋_GB2312" w:hAnsi="仿宋" w:cs="Times New Roman"/>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②</w:t>
      </w:r>
      <w:r w:rsidRPr="00B14E30">
        <w:rPr>
          <w:rFonts w:ascii="仿宋_GB2312" w:eastAsia="仿宋_GB2312" w:hAnsi="仿宋" w:cs="Times New Roman"/>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根据我院在校生生源地统计，朝阳、葫芦岛生源数量占比居省内前列。建议我院应积极利用两地生源数量优势，及较强的影响力继续加大在该地区的宣传力度，使之成为我院稳固的生源来源地。</w:t>
      </w:r>
    </w:p>
    <w:p w:rsidR="001F25F9" w:rsidRPr="00B14E30" w:rsidRDefault="003E5B9B"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仿宋" w:cs="Times New Roman"/>
          <w:color w:val="000000" w:themeColor="text1"/>
          <w:sz w:val="32"/>
          <w:szCs w:val="32"/>
        </w:rPr>
        <w:fldChar w:fldCharType="begin"/>
      </w:r>
      <w:r w:rsidR="001F25F9" w:rsidRPr="00B14E30">
        <w:rPr>
          <w:rFonts w:ascii="仿宋_GB2312" w:eastAsia="仿宋_GB2312" w:hAnsi="仿宋" w:cs="Times New Roman"/>
          <w:color w:val="000000" w:themeColor="text1"/>
          <w:sz w:val="32"/>
          <w:szCs w:val="32"/>
        </w:rPr>
        <w:instrText xml:space="preserve"> </w:instrText>
      </w:r>
      <w:r w:rsidR="001F25F9" w:rsidRPr="00B14E30">
        <w:rPr>
          <w:rFonts w:ascii="仿宋_GB2312" w:eastAsia="仿宋_GB2312" w:hAnsi="仿宋" w:cs="Times New Roman" w:hint="eastAsia"/>
          <w:color w:val="000000" w:themeColor="text1"/>
          <w:sz w:val="32"/>
          <w:szCs w:val="32"/>
        </w:rPr>
        <w:instrText>= 3 \* GB3</w:instrText>
      </w:r>
      <w:r w:rsidR="001F25F9" w:rsidRPr="00B14E30">
        <w:rPr>
          <w:rFonts w:ascii="仿宋_GB2312" w:eastAsia="仿宋_GB2312" w:hAnsi="仿宋" w:cs="Times New Roman"/>
          <w:color w:val="000000" w:themeColor="text1"/>
          <w:sz w:val="32"/>
          <w:szCs w:val="32"/>
        </w:rPr>
        <w:instrText xml:space="preserve"> </w:instrText>
      </w:r>
      <w:r w:rsidRPr="00B14E30">
        <w:rPr>
          <w:rFonts w:ascii="仿宋_GB2312" w:eastAsia="仿宋_GB2312" w:hAnsi="仿宋" w:cs="Times New Roman"/>
          <w:color w:val="000000" w:themeColor="text1"/>
          <w:sz w:val="32"/>
          <w:szCs w:val="32"/>
        </w:rPr>
        <w:fldChar w:fldCharType="separate"/>
      </w:r>
      <w:r w:rsidR="001F25F9" w:rsidRPr="00B14E30">
        <w:rPr>
          <w:rFonts w:ascii="仿宋_GB2312" w:eastAsia="仿宋_GB2312" w:hAnsi="仿宋" w:cs="Times New Roman" w:hint="eastAsia"/>
          <w:noProof/>
          <w:color w:val="000000" w:themeColor="text1"/>
          <w:sz w:val="32"/>
          <w:szCs w:val="32"/>
        </w:rPr>
        <w:t>③</w:t>
      </w:r>
      <w:r w:rsidRPr="00B14E30">
        <w:rPr>
          <w:rFonts w:ascii="仿宋_GB2312" w:eastAsia="仿宋_GB2312" w:hAnsi="仿宋" w:cs="Times New Roman"/>
          <w:color w:val="000000" w:themeColor="text1"/>
          <w:sz w:val="32"/>
          <w:szCs w:val="32"/>
        </w:rPr>
        <w:fldChar w:fldCharType="end"/>
      </w:r>
      <w:r w:rsidR="001F25F9" w:rsidRPr="00B14E30">
        <w:rPr>
          <w:rFonts w:ascii="仿宋_GB2312" w:eastAsia="仿宋_GB2312" w:hAnsi="仿宋" w:cs="Times New Roman" w:hint="eastAsia"/>
          <w:color w:val="000000" w:themeColor="text1"/>
          <w:sz w:val="32"/>
          <w:szCs w:val="32"/>
        </w:rPr>
        <w:t>本溪、阜新、丹东各市仅有一所本科院校，建议我院在该区域招生宣传时可避开招生专业交集，选择重点高中、特殊区域进行走访，突出我院区位优势、专业特点和就业前景。</w:t>
      </w:r>
    </w:p>
    <w:p w:rsidR="001F25F9" w:rsidRPr="00B14E30" w:rsidRDefault="001F25F9" w:rsidP="00CB0F30">
      <w:pPr>
        <w:spacing w:line="560" w:lineRule="exact"/>
        <w:ind w:firstLineChars="200" w:firstLine="640"/>
        <w:rPr>
          <w:rFonts w:ascii="仿宋_GB2312" w:eastAsia="仿宋_GB2312" w:hAnsi="Times New Roman"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（3）高中宣传</w:t>
      </w:r>
    </w:p>
    <w:p w:rsidR="001F25F9" w:rsidRPr="00B14E30" w:rsidRDefault="001F25F9" w:rsidP="00CB0F30">
      <w:pPr>
        <w:spacing w:line="560" w:lineRule="exact"/>
        <w:ind w:firstLineChars="200" w:firstLine="640"/>
        <w:rPr>
          <w:rFonts w:ascii="仿宋_GB2312" w:eastAsia="仿宋_GB2312" w:hAnsi="仿宋" w:cs="Times New Roman"/>
          <w:color w:val="000000" w:themeColor="text1"/>
          <w:sz w:val="32"/>
          <w:szCs w:val="32"/>
        </w:rPr>
      </w:pPr>
      <w:r w:rsidRPr="00B14E30">
        <w:rPr>
          <w:rFonts w:ascii="仿宋_GB2312" w:eastAsia="仿宋_GB2312" w:hAnsi="Times New Roman" w:cs="Times New Roman" w:hint="eastAsia"/>
          <w:color w:val="000000" w:themeColor="text1"/>
          <w:sz w:val="32"/>
          <w:szCs w:val="32"/>
        </w:rPr>
        <w:t>建议将表2所列50所高中作为我院重点生源高中进行宣传；建议将辽西地区具有一定规模（1000人/届）以上高中作为重点走访对象；建议将沈阳、大连、鞍山、抚顺、丹东、铁岭等地的市级重点高中，县级市省级重点高中作为重点宣传对象。</w:t>
      </w:r>
    </w:p>
    <w:p w:rsidR="001F25F9" w:rsidRPr="00B14E30" w:rsidRDefault="001F25F9" w:rsidP="00CB0F30">
      <w:pPr>
        <w:widowControl/>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t>（二）招生计划编制方面</w:t>
      </w:r>
    </w:p>
    <w:p w:rsidR="001F25F9" w:rsidRPr="00B14E30" w:rsidRDefault="001F25F9" w:rsidP="00CB0F30">
      <w:pPr>
        <w:autoSpaceDE w:val="0"/>
        <w:autoSpaceDN w:val="0"/>
        <w:adjustRightInd w:val="0"/>
        <w:spacing w:line="560" w:lineRule="exact"/>
        <w:ind w:firstLineChars="200" w:firstLine="640"/>
        <w:rPr>
          <w:rFonts w:ascii="仿宋_GB2312" w:eastAsia="仿宋_GB2312" w:hAnsi="Calibri" w:cs="仿宋_GB2312"/>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1．加大优质生源省区的投放计划。良好的生源质量对我院教育教学水平的提高及学校的发展壮大有着重要意义。</w:t>
      </w:r>
      <w:r w:rsidRPr="00B14E30">
        <w:rPr>
          <w:rFonts w:ascii="仿宋_GB2312" w:eastAsia="仿宋_GB2312" w:hAnsi="Calibri" w:cs="Times New Roman" w:hint="eastAsia"/>
          <w:color w:val="000000" w:themeColor="text1"/>
          <w:sz w:val="32"/>
          <w:szCs w:val="32"/>
        </w:rPr>
        <w:t>对于吉林、河北、黑龙江、内蒙古等高报到率省区应继续扩大计划投放量，增加投放专业。</w:t>
      </w:r>
      <w:r w:rsidRPr="00B14E30">
        <w:rPr>
          <w:rFonts w:ascii="仿宋_GB2312" w:eastAsia="仿宋_GB2312" w:hAnsi="Calibri" w:cs="仿宋_GB2312" w:hint="eastAsia"/>
          <w:color w:val="000000" w:themeColor="text1"/>
          <w:kern w:val="0"/>
          <w:sz w:val="32"/>
          <w:szCs w:val="32"/>
          <w:lang w:val="zh-CN"/>
        </w:rPr>
        <w:t>七省区除贵州外，整体生源质量都要优于辽宁。应增加在这些省区的投放专业和投放人数。结合经济、地域、民族等客观因素，应优先选择湖北省、安徽省、河南、山西。贵州</w:t>
      </w:r>
      <w:r w:rsidRPr="00B14E30">
        <w:rPr>
          <w:rFonts w:ascii="仿宋_GB2312" w:eastAsia="仿宋_GB2312" w:hAnsi="Calibri" w:cs="仿宋_GB2312" w:hint="eastAsia"/>
          <w:color w:val="000000" w:themeColor="text1"/>
          <w:kern w:val="0"/>
          <w:sz w:val="32"/>
          <w:szCs w:val="32"/>
          <w:lang w:val="zh-CN"/>
        </w:rPr>
        <w:lastRenderedPageBreak/>
        <w:t>省理科分数偏低、文科分数较高，可以减少在本省的理科投放，增加文科投放量。</w:t>
      </w:r>
    </w:p>
    <w:p w:rsidR="001F25F9" w:rsidRPr="00B14E30" w:rsidRDefault="001F25F9" w:rsidP="00CB0F30">
      <w:pPr>
        <w:autoSpaceDE w:val="0"/>
        <w:autoSpaceDN w:val="0"/>
        <w:adjustRightInd w:val="0"/>
        <w:spacing w:line="560" w:lineRule="exact"/>
        <w:ind w:firstLineChars="200" w:firstLine="640"/>
        <w:rPr>
          <w:rFonts w:ascii="仿宋_GB2312" w:eastAsia="仿宋_GB2312" w:hAnsi="Calibri" w:cs="仿宋_GB2312"/>
          <w:color w:val="000000" w:themeColor="text1"/>
          <w:kern w:val="0"/>
          <w:sz w:val="32"/>
          <w:szCs w:val="32"/>
          <w:lang w:val="zh-CN"/>
        </w:rPr>
      </w:pPr>
      <w:r w:rsidRPr="00B14E30">
        <w:rPr>
          <w:rFonts w:ascii="仿宋_GB2312" w:eastAsia="仿宋_GB2312" w:hAnsi="Calibri" w:cs="仿宋_GB2312" w:hint="eastAsia"/>
          <w:color w:val="000000" w:themeColor="text1"/>
          <w:kern w:val="0"/>
          <w:sz w:val="32"/>
          <w:szCs w:val="32"/>
          <w:lang w:val="zh-CN"/>
        </w:rPr>
        <w:t>2．减少民族聚集省区的投放计划。由于我院在少数民族师资、硬件配置上还存在一定不足，因此为了避免学院在少数民族学生的管理上出现问题，建议在少数民族聚集区域减少投放计划，在七省区中，贵州省少数民族种类繁多，且占总省人口比例偏大，达到了</w:t>
      </w:r>
      <w:r w:rsidRPr="00B14E30">
        <w:rPr>
          <w:rFonts w:ascii="仿宋_GB2312" w:eastAsia="仿宋_GB2312" w:hAnsi="Calibri" w:cs="仿宋_GB2312"/>
          <w:color w:val="000000" w:themeColor="text1"/>
          <w:kern w:val="0"/>
          <w:sz w:val="32"/>
          <w:szCs w:val="32"/>
          <w:lang w:val="zh-CN"/>
        </w:rPr>
        <w:t>36.11%</w:t>
      </w:r>
      <w:r w:rsidRPr="00B14E30">
        <w:rPr>
          <w:rFonts w:ascii="仿宋_GB2312" w:eastAsia="仿宋_GB2312" w:hAnsi="Calibri" w:cs="仿宋_GB2312" w:hint="eastAsia"/>
          <w:color w:val="000000" w:themeColor="text1"/>
          <w:kern w:val="0"/>
          <w:sz w:val="32"/>
          <w:szCs w:val="32"/>
          <w:lang w:val="zh-CN"/>
        </w:rPr>
        <w:t>，因此应尽可能减少在贵州省的投放量。</w:t>
      </w:r>
    </w:p>
    <w:p w:rsidR="001F25F9" w:rsidRPr="00B14E30" w:rsidRDefault="001F25F9" w:rsidP="00CB0F30">
      <w:pPr>
        <w:autoSpaceDE w:val="0"/>
        <w:autoSpaceDN w:val="0"/>
        <w:adjustRightInd w:val="0"/>
        <w:spacing w:line="560" w:lineRule="exact"/>
        <w:ind w:firstLineChars="200" w:firstLine="640"/>
        <w:rPr>
          <w:rFonts w:ascii="仿宋_GB2312" w:eastAsia="仿宋_GB2312" w:hAnsi="Calibri" w:cs="仿宋_GB2312"/>
          <w:color w:val="000000" w:themeColor="text1"/>
          <w:kern w:val="0"/>
          <w:sz w:val="32"/>
          <w:szCs w:val="32"/>
        </w:rPr>
      </w:pPr>
      <w:r w:rsidRPr="00B14E30">
        <w:rPr>
          <w:rFonts w:ascii="仿宋_GB2312" w:eastAsia="仿宋_GB2312" w:hAnsi="Calibri" w:cs="仿宋_GB2312" w:hint="eastAsia"/>
          <w:color w:val="000000" w:themeColor="text1"/>
          <w:kern w:val="0"/>
          <w:sz w:val="32"/>
          <w:szCs w:val="32"/>
        </w:rPr>
        <w:t>3．合理分配冷、热门专业。通过对我院</w:t>
      </w:r>
      <w:r w:rsidRPr="00B14E30">
        <w:rPr>
          <w:rFonts w:ascii="仿宋_GB2312" w:eastAsia="仿宋_GB2312" w:hAnsi="Calibri" w:cs="仿宋_GB2312"/>
          <w:color w:val="000000" w:themeColor="text1"/>
          <w:kern w:val="0"/>
          <w:sz w:val="32"/>
          <w:szCs w:val="32"/>
        </w:rPr>
        <w:t>2014-2015</w:t>
      </w:r>
      <w:r w:rsidRPr="00B14E30">
        <w:rPr>
          <w:rFonts w:ascii="仿宋_GB2312" w:eastAsia="仿宋_GB2312" w:hAnsi="Calibri" w:cs="仿宋_GB2312" w:hint="eastAsia"/>
          <w:color w:val="000000" w:themeColor="text1"/>
          <w:kern w:val="0"/>
          <w:sz w:val="32"/>
          <w:szCs w:val="32"/>
        </w:rPr>
        <w:t>年理科第一志愿的整理分析，我们发现各专业第一志愿比例基本稳定，但并不平均，部分专业所占比例差距较大，其中材控、材料、无机非热度较低，应减少省外投放量。同时，</w:t>
      </w:r>
      <w:r w:rsidRPr="00B14E30">
        <w:rPr>
          <w:rFonts w:ascii="仿宋_GB2312" w:eastAsia="仿宋_GB2312" w:hAnsi="Calibri" w:cs="Times New Roman" w:hint="eastAsia"/>
          <w:color w:val="000000" w:themeColor="text1"/>
          <w:sz w:val="32"/>
          <w:szCs w:val="32"/>
        </w:rPr>
        <w:t>减少或取消优势专业在低报到率省区的投放计划。通过分析我们发现，机械设计制造及其自动化作为我院优势专业和热门专业，三年来未报到人数有10人之多，且省外未报到比例占到80%，外省区的低报到率导致我院损失了8个优质生源，所以</w:t>
      </w:r>
      <w:r w:rsidRPr="00B14E30">
        <w:rPr>
          <w:rFonts w:ascii="仿宋_GB2312" w:eastAsia="仿宋_GB2312" w:hAnsi="Calibri" w:cs="仿宋_GB2312" w:hint="eastAsia"/>
          <w:color w:val="000000" w:themeColor="text1"/>
          <w:kern w:val="0"/>
          <w:sz w:val="32"/>
          <w:szCs w:val="32"/>
        </w:rPr>
        <w:t>应摒弃利用优势专业吸引省外考生的计划投放策略，尽量投放在生源质量好、报到率高的省区。</w:t>
      </w:r>
    </w:p>
    <w:p w:rsidR="001F25F9" w:rsidRPr="00B14E30" w:rsidRDefault="001F25F9" w:rsidP="00CB0F30">
      <w:pPr>
        <w:autoSpaceDE w:val="0"/>
        <w:autoSpaceDN w:val="0"/>
        <w:adjustRightInd w:val="0"/>
        <w:spacing w:line="560" w:lineRule="exact"/>
        <w:ind w:firstLineChars="200" w:firstLine="640"/>
        <w:rPr>
          <w:rFonts w:ascii="仿宋_GB2312" w:eastAsia="仿宋_GB2312" w:hAnsi="Calibri" w:cs="Times New Roman"/>
          <w:color w:val="000000" w:themeColor="text1"/>
          <w:kern w:val="0"/>
          <w:sz w:val="32"/>
          <w:szCs w:val="32"/>
        </w:rPr>
      </w:pPr>
      <w:r w:rsidRPr="00B14E30">
        <w:rPr>
          <w:rFonts w:ascii="仿宋_GB2312" w:eastAsia="仿宋_GB2312" w:hAnsi="Calibri" w:cs="仿宋_GB2312" w:hint="eastAsia"/>
          <w:color w:val="000000" w:themeColor="text1"/>
          <w:kern w:val="0"/>
          <w:sz w:val="32"/>
          <w:szCs w:val="32"/>
        </w:rPr>
        <w:t>4．不宜新增</w:t>
      </w:r>
      <w:r w:rsidR="003B11B0">
        <w:rPr>
          <w:rFonts w:ascii="仿宋_GB2312" w:eastAsia="仿宋_GB2312" w:hAnsi="Calibri" w:cs="仿宋_GB2312" w:hint="eastAsia"/>
          <w:color w:val="000000" w:themeColor="text1"/>
          <w:kern w:val="0"/>
          <w:sz w:val="32"/>
          <w:szCs w:val="32"/>
        </w:rPr>
        <w:t>计划</w:t>
      </w:r>
      <w:r w:rsidRPr="00B14E30">
        <w:rPr>
          <w:rFonts w:ascii="仿宋_GB2312" w:eastAsia="仿宋_GB2312" w:hAnsi="Calibri" w:cs="仿宋_GB2312" w:hint="eastAsia"/>
          <w:color w:val="000000" w:themeColor="text1"/>
          <w:kern w:val="0"/>
          <w:sz w:val="32"/>
          <w:szCs w:val="32"/>
        </w:rPr>
        <w:t>投放省区。我院和省内本科院校在大部分专业投放省区的选择上能够保持基本一致，但对于河南省、湖北省、安徽省、甘肃省等地区的计划投放上还略显保守。面向北京、上海、浙江、重庆等发达省市及部分偏远地区投放计划的省内院校数量相对较少，说明辽宁对于这些地区吸引力不足，因此短时期内不建议我院在这些地区投放计划。</w:t>
      </w:r>
    </w:p>
    <w:p w:rsidR="001F25F9" w:rsidRPr="00B14E30" w:rsidRDefault="001F25F9" w:rsidP="00CB0F30">
      <w:pPr>
        <w:widowControl/>
        <w:spacing w:line="560" w:lineRule="exact"/>
        <w:ind w:firstLineChars="200" w:firstLine="640"/>
        <w:rPr>
          <w:rFonts w:ascii="楷体_GB2312" w:eastAsia="楷体_GB2312" w:hAnsi="黑体" w:cs="Times New Roman"/>
          <w:color w:val="000000" w:themeColor="text1"/>
          <w:sz w:val="32"/>
          <w:szCs w:val="32"/>
        </w:rPr>
      </w:pPr>
      <w:r w:rsidRPr="00B14E30">
        <w:rPr>
          <w:rFonts w:ascii="楷体_GB2312" w:eastAsia="楷体_GB2312" w:hAnsi="黑体" w:cs="Times New Roman" w:hint="eastAsia"/>
          <w:color w:val="000000" w:themeColor="text1"/>
          <w:sz w:val="32"/>
          <w:szCs w:val="32"/>
        </w:rPr>
        <w:lastRenderedPageBreak/>
        <w:t>（三）应对高考改革影响方面</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1．专注发展优势特色专业</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本次录取批次的调整，意在淡化院校批次，突出专业优势，对一些专业有特色，区位优势明显的本科院校是一个良好的机遇。作为一所建校初就定位为：“高水平、有特色”的本科院校，我院更应积极强化专业建设，依据区域经济社会发展需求设置具有地方特色的专业，以专业建设立足，以院校特色取胜。</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2．加大招生宣传力度</w:t>
      </w:r>
    </w:p>
    <w:p w:rsidR="001F25F9" w:rsidRPr="00B14E30" w:rsidRDefault="001F25F9" w:rsidP="00CB0F30">
      <w:pPr>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此次录取批次的合并，不论是传统的二本公办院校，或是民办院校，都将面临着新一轮的洗牌</w:t>
      </w:r>
      <w:r w:rsidRPr="00B14E30">
        <w:rPr>
          <w:rFonts w:ascii="仿宋_GB2312" w:eastAsia="仿宋_GB2312" w:hAnsi="黑体" w:cs="Times New Roman" w:hint="eastAsia"/>
          <w:color w:val="000000" w:themeColor="text1"/>
          <w:sz w:val="32"/>
          <w:szCs w:val="32"/>
        </w:rPr>
        <w:t>。</w:t>
      </w:r>
      <w:r w:rsidRPr="00B14E30">
        <w:rPr>
          <w:rFonts w:ascii="仿宋_GB2312" w:eastAsia="仿宋_GB2312" w:hAnsi="Calibri" w:cs="Times New Roman" w:hint="eastAsia"/>
          <w:color w:val="000000" w:themeColor="text1"/>
          <w:sz w:val="32"/>
          <w:szCs w:val="32"/>
        </w:rPr>
        <w:t>原二本院校有优先录取优质生源的体制优势，并无生源之忧。现在体制的围墙一旦打开，许多公办院校会突然面临着来自三本院校的挑战，由于民办院校长期生存在招生市场经济的环境下，适应能力较强，体制机制较灵活，所以必然会搅乱二批次录取市场，新旧更替、优胜劣汰在所难免。我院作为一所新建的院校，并无思想观念的桎梏，也没有历史的包袱，所以应该主动出击，积极应对这次挑战，不断加大招生宣传力度，抢占招生宣传制高点，加强与生源地的长效合作关系。以营口市整体形象、区位优势为突破口，以特色专业为着力点进行招生宣传，确保学院在这次调整中稳步发展，取得突破。</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3．加快应用型转型工作</w:t>
      </w:r>
    </w:p>
    <w:p w:rsidR="001F25F9" w:rsidRPr="00B14E30" w:rsidRDefault="001F25F9" w:rsidP="00CB0F30">
      <w:pPr>
        <w:widowControl/>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以学院转型工作为契机，通过设置与地方产业相匹配的应用型学科专业，强化专业特色建设，全面提高人才培养质量，通过</w:t>
      </w:r>
      <w:r w:rsidRPr="00B14E30">
        <w:rPr>
          <w:rFonts w:ascii="仿宋_GB2312" w:eastAsia="仿宋_GB2312" w:hAnsi="Calibri" w:cs="Times New Roman" w:hint="eastAsia"/>
          <w:color w:val="000000" w:themeColor="text1"/>
          <w:sz w:val="32"/>
          <w:szCs w:val="32"/>
        </w:rPr>
        <w:lastRenderedPageBreak/>
        <w:t>良好的就业带动招生工作，在新一轮高等教育改革发展中起引领示范作用，提升学院在我省广大考生及家长的认可度、社会美誉度。</w:t>
      </w:r>
    </w:p>
    <w:p w:rsidR="001F25F9" w:rsidRPr="00B14E30" w:rsidRDefault="001F25F9" w:rsidP="00CB0F30">
      <w:pPr>
        <w:adjustRightInd w:val="0"/>
        <w:snapToGrid w:val="0"/>
        <w:spacing w:line="560" w:lineRule="exact"/>
        <w:ind w:firstLineChars="200" w:firstLine="640"/>
        <w:rPr>
          <w:rFonts w:ascii="仿宋_GB2312" w:eastAsia="仿宋_GB2312" w:hAnsi="Calibri" w:cs="Times New Roman"/>
          <w:color w:val="000000" w:themeColor="text1"/>
          <w:sz w:val="32"/>
          <w:szCs w:val="32"/>
        </w:rPr>
      </w:pPr>
      <w:r w:rsidRPr="00B14E30">
        <w:rPr>
          <w:rFonts w:ascii="仿宋_GB2312" w:eastAsia="仿宋_GB2312" w:hAnsi="Calibri" w:cs="Times New Roman" w:hint="eastAsia"/>
          <w:color w:val="000000" w:themeColor="text1"/>
          <w:sz w:val="32"/>
          <w:szCs w:val="32"/>
        </w:rPr>
        <w:t>4．尝试大类招生模式</w:t>
      </w:r>
    </w:p>
    <w:p w:rsidR="0061003F" w:rsidRPr="00B14E30" w:rsidRDefault="001F25F9" w:rsidP="00CB0F30">
      <w:pPr>
        <w:widowControl/>
        <w:spacing w:line="560" w:lineRule="exact"/>
        <w:ind w:firstLineChars="200" w:firstLine="640"/>
        <w:rPr>
          <w:rFonts w:ascii="仿宋_GB2312" w:eastAsia="仿宋_GB2312"/>
          <w:color w:val="000000" w:themeColor="text1"/>
          <w:sz w:val="32"/>
          <w:szCs w:val="32"/>
        </w:rPr>
      </w:pPr>
      <w:r w:rsidRPr="00B14E30">
        <w:rPr>
          <w:rFonts w:ascii="仿宋_GB2312" w:eastAsia="仿宋_GB2312" w:hAnsi="Calibri" w:cs="Times New Roman" w:hint="eastAsia"/>
          <w:color w:val="000000" w:themeColor="text1"/>
          <w:sz w:val="32"/>
          <w:szCs w:val="32"/>
        </w:rPr>
        <w:t>此次我省高考录取改革是一个过渡性的调整，未来改革的方向和高考录取将全面取消批次，将学术性和应用型高校区分开，考生按照专业报考，高校按照专业大类进行招生。所以我院应该积极尝试推动</w:t>
      </w:r>
      <w:r w:rsidR="002A3929" w:rsidRPr="00B14E30">
        <w:rPr>
          <w:rFonts w:ascii="仿宋_GB2312" w:eastAsia="仿宋_GB2312" w:hAnsi="Calibri" w:cs="Times New Roman" w:hint="eastAsia"/>
          <w:color w:val="000000" w:themeColor="text1"/>
          <w:sz w:val="32"/>
          <w:szCs w:val="32"/>
        </w:rPr>
        <w:t>大类（或专业群）宽口径招生录取，为将来的改革积累经验，创造条件。</w:t>
      </w:r>
    </w:p>
    <w:sectPr w:rsidR="0061003F" w:rsidRPr="00B14E30" w:rsidSect="0061003F">
      <w:footerReference w:type="even" r:id="rId39"/>
      <w:footerReference w:type="default" r:id="rId40"/>
      <w:pgSz w:w="11906" w:h="16838"/>
      <w:pgMar w:top="2098" w:right="1474" w:bottom="1985" w:left="158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C22" w:rsidRDefault="00FC3C22" w:rsidP="0061003F">
      <w:r>
        <w:separator/>
      </w:r>
    </w:p>
  </w:endnote>
  <w:endnote w:type="continuationSeparator" w:id="0">
    <w:p w:rsidR="00FC3C22" w:rsidRDefault="00FC3C22" w:rsidP="006100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长城小标宋体">
    <w:panose1 w:val="0201060901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经典叠圆体简">
    <w:charset w:val="86"/>
    <w:family w:val="modern"/>
    <w:pitch w:val="fixed"/>
    <w:sig w:usb0="A1002AEF" w:usb1="F9DF7CFB" w:usb2="0000001E" w:usb3="00000000" w:csb0="0004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03F" w:rsidRPr="0061003F" w:rsidRDefault="0061003F" w:rsidP="0061003F">
    <w:pPr>
      <w:pStyle w:val="a6"/>
      <w:ind w:firstLineChars="50" w:firstLine="140"/>
      <w:rPr>
        <w:rFonts w:asciiTheme="minorEastAsia" w:hAnsiTheme="minorEastAsia"/>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212672"/>
      <w:docPartObj>
        <w:docPartGallery w:val="Page Numbers (Bottom of Page)"/>
        <w:docPartUnique/>
      </w:docPartObj>
    </w:sdtPr>
    <w:sdtEndPr>
      <w:rPr>
        <w:rFonts w:asciiTheme="minorEastAsia" w:hAnsiTheme="minorEastAsia" w:hint="eastAsia"/>
        <w:sz w:val="28"/>
        <w:szCs w:val="28"/>
      </w:rPr>
    </w:sdtEndPr>
    <w:sdtContent>
      <w:p w:rsidR="0061003F" w:rsidRPr="0061003F" w:rsidRDefault="0061003F" w:rsidP="0061003F">
        <w:pPr>
          <w:pStyle w:val="a6"/>
          <w:ind w:firstLineChars="50" w:firstLine="90"/>
          <w:rPr>
            <w:rFonts w:asciiTheme="minorEastAsia" w:hAnsiTheme="minorEastAsia"/>
            <w:sz w:val="28"/>
            <w:szCs w:val="28"/>
          </w:rPr>
        </w:pPr>
        <w:r w:rsidRPr="0061003F">
          <w:rPr>
            <w:rFonts w:asciiTheme="minorEastAsia" w:hAnsiTheme="minorEastAsia" w:hint="eastAsia"/>
            <w:sz w:val="28"/>
            <w:szCs w:val="28"/>
          </w:rPr>
          <w:t xml:space="preserve">— </w:t>
        </w:r>
        <w:r w:rsidR="003E5B9B" w:rsidRPr="0061003F">
          <w:rPr>
            <w:rFonts w:asciiTheme="minorEastAsia" w:hAnsiTheme="minorEastAsia" w:hint="eastAsia"/>
            <w:sz w:val="28"/>
            <w:szCs w:val="28"/>
          </w:rPr>
          <w:fldChar w:fldCharType="begin"/>
        </w:r>
        <w:r w:rsidRPr="0061003F">
          <w:rPr>
            <w:rFonts w:asciiTheme="minorEastAsia" w:hAnsiTheme="minorEastAsia" w:hint="eastAsia"/>
            <w:sz w:val="28"/>
            <w:szCs w:val="28"/>
          </w:rPr>
          <w:instrText>PAGE   \* MERGEFORMAT</w:instrText>
        </w:r>
        <w:r w:rsidR="003E5B9B" w:rsidRPr="0061003F">
          <w:rPr>
            <w:rFonts w:asciiTheme="minorEastAsia" w:hAnsiTheme="minorEastAsia" w:hint="eastAsia"/>
            <w:sz w:val="28"/>
            <w:szCs w:val="28"/>
          </w:rPr>
          <w:fldChar w:fldCharType="separate"/>
        </w:r>
        <w:r w:rsidR="00185817" w:rsidRPr="00185817">
          <w:rPr>
            <w:rFonts w:asciiTheme="minorEastAsia" w:hAnsiTheme="minorEastAsia"/>
            <w:noProof/>
            <w:sz w:val="28"/>
            <w:szCs w:val="28"/>
            <w:lang w:val="zh-CN"/>
          </w:rPr>
          <w:t>2</w:t>
        </w:r>
        <w:r w:rsidR="003E5B9B" w:rsidRPr="0061003F">
          <w:rPr>
            <w:rFonts w:asciiTheme="minorEastAsia" w:hAnsiTheme="minorEastAsia" w:hint="eastAsia"/>
            <w:sz w:val="28"/>
            <w:szCs w:val="28"/>
          </w:rPr>
          <w:fldChar w:fldCharType="end"/>
        </w:r>
        <w:r w:rsidRPr="0061003F">
          <w:rPr>
            <w:rFonts w:asciiTheme="minorEastAsia" w:hAnsiTheme="minorEastAsia" w:hint="eastAsia"/>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03F" w:rsidRPr="004248A5" w:rsidRDefault="004248A5" w:rsidP="004248A5">
    <w:pPr>
      <w:pStyle w:val="a6"/>
      <w:wordWrap w:val="0"/>
      <w:jc w:val="right"/>
      <w:rPr>
        <w:rFonts w:asciiTheme="minorEastAsia" w:hAnsiTheme="minorEastAsia"/>
        <w:sz w:val="28"/>
        <w:szCs w:val="28"/>
      </w:rPr>
    </w:pPr>
    <w:r w:rsidRPr="004248A5">
      <w:rPr>
        <w:rFonts w:asciiTheme="minorEastAsia" w:hAnsiTheme="minorEastAsia" w:cstheme="majorBidi" w:hint="eastAsia"/>
        <w:sz w:val="28"/>
        <w:szCs w:val="28"/>
        <w:lang w:val="zh-CN"/>
      </w:rPr>
      <w:t>—</w:t>
    </w:r>
    <w:r w:rsidRPr="004248A5">
      <w:rPr>
        <w:rFonts w:asciiTheme="minorEastAsia" w:hAnsiTheme="minorEastAsia"/>
        <w:sz w:val="28"/>
        <w:szCs w:val="28"/>
      </w:rPr>
      <w:t xml:space="preserve"> </w:t>
    </w:r>
    <w:r w:rsidR="003E5B9B" w:rsidRPr="003E5B9B">
      <w:rPr>
        <w:rFonts w:asciiTheme="minorEastAsia" w:hAnsiTheme="minorEastAsia"/>
        <w:sz w:val="28"/>
        <w:szCs w:val="28"/>
      </w:rPr>
      <w:fldChar w:fldCharType="begin"/>
    </w:r>
    <w:r w:rsidRPr="004248A5">
      <w:rPr>
        <w:rFonts w:asciiTheme="minorEastAsia" w:hAnsiTheme="minorEastAsia"/>
        <w:sz w:val="28"/>
        <w:szCs w:val="28"/>
      </w:rPr>
      <w:instrText>PAGE    \* MERGEFORMAT</w:instrText>
    </w:r>
    <w:r w:rsidR="003E5B9B" w:rsidRPr="003E5B9B">
      <w:rPr>
        <w:rFonts w:asciiTheme="minorEastAsia" w:hAnsiTheme="minorEastAsia"/>
        <w:sz w:val="28"/>
        <w:szCs w:val="28"/>
      </w:rPr>
      <w:fldChar w:fldCharType="separate"/>
    </w:r>
    <w:r w:rsidR="00185817" w:rsidRPr="00185817">
      <w:rPr>
        <w:rFonts w:asciiTheme="minorEastAsia" w:hAnsiTheme="minorEastAsia" w:cstheme="majorBidi"/>
        <w:noProof/>
        <w:sz w:val="28"/>
        <w:szCs w:val="28"/>
        <w:lang w:val="zh-CN"/>
      </w:rPr>
      <w:t>3</w:t>
    </w:r>
    <w:r w:rsidR="003E5B9B" w:rsidRPr="004248A5">
      <w:rPr>
        <w:rFonts w:asciiTheme="minorEastAsia" w:hAnsiTheme="minorEastAsia" w:cstheme="majorBidi"/>
        <w:sz w:val="28"/>
        <w:szCs w:val="28"/>
      </w:rPr>
      <w:fldChar w:fldCharType="end"/>
    </w:r>
    <w:r w:rsidRPr="004248A5">
      <w:rPr>
        <w:rFonts w:asciiTheme="minorEastAsia" w:hAnsiTheme="minorEastAsia" w:cstheme="majorBidi"/>
        <w:sz w:val="28"/>
        <w:szCs w:val="28"/>
        <w:lang w:val="zh-CN"/>
      </w:rPr>
      <w:t xml:space="preserve"> </w:t>
    </w:r>
    <w:r w:rsidRPr="004248A5">
      <w:rPr>
        <w:rFonts w:asciiTheme="minorEastAsia" w:hAnsiTheme="minorEastAsia" w:cstheme="majorBidi" w:hint="eastAsia"/>
        <w:sz w:val="28"/>
        <w:szCs w:val="28"/>
        <w:lang w:val="zh-C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C22" w:rsidRDefault="00FC3C22" w:rsidP="0061003F">
      <w:r>
        <w:separator/>
      </w:r>
    </w:p>
  </w:footnote>
  <w:footnote w:type="continuationSeparator" w:id="0">
    <w:p w:rsidR="00FC3C22" w:rsidRDefault="00FC3C22" w:rsidP="006100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D7665"/>
    <w:multiLevelType w:val="hybridMultilevel"/>
    <w:tmpl w:val="D414B3F4"/>
    <w:lvl w:ilvl="0" w:tplc="129C4B5E">
      <w:start w:val="1"/>
      <w:numFmt w:val="japaneseCounting"/>
      <w:lvlText w:val="（%1）"/>
      <w:lvlJc w:val="left"/>
      <w:pPr>
        <w:tabs>
          <w:tab w:val="num" w:pos="2215"/>
        </w:tabs>
        <w:ind w:left="2215" w:hanging="1575"/>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
    <w:nsid w:val="10A36171"/>
    <w:multiLevelType w:val="hybridMultilevel"/>
    <w:tmpl w:val="438A73B0"/>
    <w:lvl w:ilvl="0" w:tplc="724C34F0">
      <w:start w:val="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787179"/>
    <w:multiLevelType w:val="hybridMultilevel"/>
    <w:tmpl w:val="38C2F66E"/>
    <w:lvl w:ilvl="0" w:tplc="DBC6C8E2">
      <w:start w:val="1"/>
      <w:numFmt w:val="japaneseCounting"/>
      <w:lvlText w:val="（%1）"/>
      <w:lvlJc w:val="left"/>
      <w:pPr>
        <w:tabs>
          <w:tab w:val="num" w:pos="2155"/>
        </w:tabs>
        <w:ind w:left="2155" w:hanging="1515"/>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
    <w:nsid w:val="15627376"/>
    <w:multiLevelType w:val="hybridMultilevel"/>
    <w:tmpl w:val="933600F4"/>
    <w:lvl w:ilvl="0" w:tplc="2D0684AE">
      <w:start w:val="1"/>
      <w:numFmt w:val="bullet"/>
      <w:lvlText w:val="—"/>
      <w:lvlJc w:val="left"/>
      <w:pPr>
        <w:ind w:left="360" w:hanging="360"/>
      </w:pPr>
      <w:rPr>
        <w:rFonts w:ascii="宋体" w:eastAsia="宋体" w:hAnsi="宋体" w:cstheme="maj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CCE1652"/>
    <w:multiLevelType w:val="hybridMultilevel"/>
    <w:tmpl w:val="4B5088DA"/>
    <w:lvl w:ilvl="0" w:tplc="84AC2290">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6A92FF2"/>
    <w:multiLevelType w:val="hybridMultilevel"/>
    <w:tmpl w:val="E1201628"/>
    <w:lvl w:ilvl="0" w:tplc="3BA47D78">
      <w:numFmt w:val="bullet"/>
      <w:lvlText w:val="—"/>
      <w:lvlJc w:val="left"/>
      <w:pPr>
        <w:ind w:left="720" w:hanging="360"/>
      </w:pPr>
      <w:rPr>
        <w:rFonts w:ascii="宋体" w:eastAsia="宋体" w:hAnsi="宋体" w:cstheme="minorBidi"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420323FE"/>
    <w:multiLevelType w:val="hybridMultilevel"/>
    <w:tmpl w:val="9EA82834"/>
    <w:lvl w:ilvl="0" w:tplc="063449E0">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nsid w:val="4E8F01EC"/>
    <w:multiLevelType w:val="hybridMultilevel"/>
    <w:tmpl w:val="B68A64AE"/>
    <w:lvl w:ilvl="0" w:tplc="E80EE61E">
      <w:start w:val="2"/>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nsid w:val="52606BFA"/>
    <w:multiLevelType w:val="hybridMultilevel"/>
    <w:tmpl w:val="46B277CC"/>
    <w:lvl w:ilvl="0" w:tplc="B0C86D36">
      <w:numFmt w:val="bullet"/>
      <w:lvlText w:val="—"/>
      <w:lvlJc w:val="left"/>
      <w:pPr>
        <w:ind w:left="360" w:hanging="360"/>
      </w:pPr>
      <w:rPr>
        <w:rFonts w:ascii="宋体" w:eastAsia="宋体" w:hAnsi="宋体" w:cstheme="maj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7621901"/>
    <w:multiLevelType w:val="hybridMultilevel"/>
    <w:tmpl w:val="EEC6D7BA"/>
    <w:lvl w:ilvl="0" w:tplc="FF5AD2F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60015F3E"/>
    <w:multiLevelType w:val="hybridMultilevel"/>
    <w:tmpl w:val="50FE706E"/>
    <w:lvl w:ilvl="0" w:tplc="3A32216A">
      <w:start w:val="6"/>
      <w:numFmt w:val="bullet"/>
      <w:lvlText w:val="—"/>
      <w:lvlJc w:val="left"/>
      <w:pPr>
        <w:ind w:left="540" w:hanging="360"/>
      </w:pPr>
      <w:rPr>
        <w:rFonts w:ascii="仿宋_GB2312" w:eastAsia="仿宋_GB2312" w:hAnsi="Calibri" w:hint="eastAsia"/>
      </w:rPr>
    </w:lvl>
    <w:lvl w:ilvl="1" w:tplc="04090003">
      <w:start w:val="1"/>
      <w:numFmt w:val="bullet"/>
      <w:lvlText w:val=""/>
      <w:lvlJc w:val="left"/>
      <w:pPr>
        <w:ind w:left="1020" w:hanging="420"/>
      </w:pPr>
      <w:rPr>
        <w:rFonts w:ascii="Wingdings" w:hAnsi="Wingdings" w:cs="Wingdings" w:hint="default"/>
      </w:rPr>
    </w:lvl>
    <w:lvl w:ilvl="2" w:tplc="04090005">
      <w:start w:val="1"/>
      <w:numFmt w:val="bullet"/>
      <w:lvlText w:val=""/>
      <w:lvlJc w:val="left"/>
      <w:pPr>
        <w:ind w:left="1440" w:hanging="420"/>
      </w:pPr>
      <w:rPr>
        <w:rFonts w:ascii="Wingdings" w:hAnsi="Wingdings" w:cs="Wingdings" w:hint="default"/>
      </w:rPr>
    </w:lvl>
    <w:lvl w:ilvl="3" w:tplc="04090001">
      <w:start w:val="1"/>
      <w:numFmt w:val="bullet"/>
      <w:lvlText w:val=""/>
      <w:lvlJc w:val="left"/>
      <w:pPr>
        <w:ind w:left="1860" w:hanging="420"/>
      </w:pPr>
      <w:rPr>
        <w:rFonts w:ascii="Wingdings" w:hAnsi="Wingdings" w:cs="Wingdings" w:hint="default"/>
      </w:rPr>
    </w:lvl>
    <w:lvl w:ilvl="4" w:tplc="04090003">
      <w:start w:val="1"/>
      <w:numFmt w:val="bullet"/>
      <w:lvlText w:val=""/>
      <w:lvlJc w:val="left"/>
      <w:pPr>
        <w:ind w:left="2280" w:hanging="420"/>
      </w:pPr>
      <w:rPr>
        <w:rFonts w:ascii="Wingdings" w:hAnsi="Wingdings" w:cs="Wingdings" w:hint="default"/>
      </w:rPr>
    </w:lvl>
    <w:lvl w:ilvl="5" w:tplc="04090005">
      <w:start w:val="1"/>
      <w:numFmt w:val="bullet"/>
      <w:lvlText w:val=""/>
      <w:lvlJc w:val="left"/>
      <w:pPr>
        <w:ind w:left="2700" w:hanging="420"/>
      </w:pPr>
      <w:rPr>
        <w:rFonts w:ascii="Wingdings" w:hAnsi="Wingdings" w:cs="Wingdings" w:hint="default"/>
      </w:rPr>
    </w:lvl>
    <w:lvl w:ilvl="6" w:tplc="04090001">
      <w:start w:val="1"/>
      <w:numFmt w:val="bullet"/>
      <w:lvlText w:val=""/>
      <w:lvlJc w:val="left"/>
      <w:pPr>
        <w:ind w:left="3120" w:hanging="420"/>
      </w:pPr>
      <w:rPr>
        <w:rFonts w:ascii="Wingdings" w:hAnsi="Wingdings" w:cs="Wingdings" w:hint="default"/>
      </w:rPr>
    </w:lvl>
    <w:lvl w:ilvl="7" w:tplc="04090003">
      <w:start w:val="1"/>
      <w:numFmt w:val="bullet"/>
      <w:lvlText w:val=""/>
      <w:lvlJc w:val="left"/>
      <w:pPr>
        <w:ind w:left="3540" w:hanging="420"/>
      </w:pPr>
      <w:rPr>
        <w:rFonts w:ascii="Wingdings" w:hAnsi="Wingdings" w:cs="Wingdings" w:hint="default"/>
      </w:rPr>
    </w:lvl>
    <w:lvl w:ilvl="8" w:tplc="04090005">
      <w:start w:val="1"/>
      <w:numFmt w:val="bullet"/>
      <w:lvlText w:val=""/>
      <w:lvlJc w:val="left"/>
      <w:pPr>
        <w:ind w:left="3960" w:hanging="420"/>
      </w:pPr>
      <w:rPr>
        <w:rFonts w:ascii="Wingdings" w:hAnsi="Wingdings" w:cs="Wingdings" w:hint="default"/>
      </w:rPr>
    </w:lvl>
  </w:abstractNum>
  <w:abstractNum w:abstractNumId="11">
    <w:nsid w:val="628F4452"/>
    <w:multiLevelType w:val="hybridMultilevel"/>
    <w:tmpl w:val="8A8CA654"/>
    <w:lvl w:ilvl="0" w:tplc="9042A482">
      <w:start w:val="1"/>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53B517D"/>
    <w:multiLevelType w:val="hybridMultilevel"/>
    <w:tmpl w:val="C28CEC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7446E92"/>
    <w:multiLevelType w:val="hybridMultilevel"/>
    <w:tmpl w:val="FAEE2D22"/>
    <w:lvl w:ilvl="0" w:tplc="79AEA0A2">
      <w:start w:val="2"/>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6C8C080F"/>
    <w:multiLevelType w:val="hybridMultilevel"/>
    <w:tmpl w:val="3B1E77D2"/>
    <w:lvl w:ilvl="0" w:tplc="B1384CB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C6C05DD"/>
    <w:multiLevelType w:val="hybridMultilevel"/>
    <w:tmpl w:val="C242F518"/>
    <w:lvl w:ilvl="0" w:tplc="957E80B2">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6">
    <w:nsid w:val="7F2A44EF"/>
    <w:multiLevelType w:val="hybridMultilevel"/>
    <w:tmpl w:val="DE786600"/>
    <w:lvl w:ilvl="0" w:tplc="854892BC">
      <w:start w:val="6"/>
      <w:numFmt w:val="bullet"/>
      <w:lvlText w:val="—"/>
      <w:lvlJc w:val="left"/>
      <w:pPr>
        <w:ind w:left="450" w:hanging="360"/>
      </w:pPr>
      <w:rPr>
        <w:rFonts w:ascii="宋体" w:eastAsia="宋体" w:hAnsi="宋体" w:hint="eastAsia"/>
        <w:sz w:val="18"/>
        <w:szCs w:val="18"/>
      </w:rPr>
    </w:lvl>
    <w:lvl w:ilvl="1" w:tplc="04090003">
      <w:start w:val="1"/>
      <w:numFmt w:val="bullet"/>
      <w:lvlText w:val=""/>
      <w:lvlJc w:val="left"/>
      <w:pPr>
        <w:ind w:left="930" w:hanging="420"/>
      </w:pPr>
      <w:rPr>
        <w:rFonts w:ascii="Wingdings" w:hAnsi="Wingdings" w:cs="Wingdings" w:hint="default"/>
      </w:rPr>
    </w:lvl>
    <w:lvl w:ilvl="2" w:tplc="04090005">
      <w:start w:val="1"/>
      <w:numFmt w:val="bullet"/>
      <w:lvlText w:val=""/>
      <w:lvlJc w:val="left"/>
      <w:pPr>
        <w:ind w:left="1350" w:hanging="420"/>
      </w:pPr>
      <w:rPr>
        <w:rFonts w:ascii="Wingdings" w:hAnsi="Wingdings" w:cs="Wingdings" w:hint="default"/>
      </w:rPr>
    </w:lvl>
    <w:lvl w:ilvl="3" w:tplc="04090001">
      <w:start w:val="1"/>
      <w:numFmt w:val="bullet"/>
      <w:lvlText w:val=""/>
      <w:lvlJc w:val="left"/>
      <w:pPr>
        <w:ind w:left="1770" w:hanging="420"/>
      </w:pPr>
      <w:rPr>
        <w:rFonts w:ascii="Wingdings" w:hAnsi="Wingdings" w:cs="Wingdings" w:hint="default"/>
      </w:rPr>
    </w:lvl>
    <w:lvl w:ilvl="4" w:tplc="04090003">
      <w:start w:val="1"/>
      <w:numFmt w:val="bullet"/>
      <w:lvlText w:val=""/>
      <w:lvlJc w:val="left"/>
      <w:pPr>
        <w:ind w:left="2190" w:hanging="420"/>
      </w:pPr>
      <w:rPr>
        <w:rFonts w:ascii="Wingdings" w:hAnsi="Wingdings" w:cs="Wingdings" w:hint="default"/>
      </w:rPr>
    </w:lvl>
    <w:lvl w:ilvl="5" w:tplc="04090005">
      <w:start w:val="1"/>
      <w:numFmt w:val="bullet"/>
      <w:lvlText w:val=""/>
      <w:lvlJc w:val="left"/>
      <w:pPr>
        <w:ind w:left="2610" w:hanging="420"/>
      </w:pPr>
      <w:rPr>
        <w:rFonts w:ascii="Wingdings" w:hAnsi="Wingdings" w:cs="Wingdings" w:hint="default"/>
      </w:rPr>
    </w:lvl>
    <w:lvl w:ilvl="6" w:tplc="04090001">
      <w:start w:val="1"/>
      <w:numFmt w:val="bullet"/>
      <w:lvlText w:val=""/>
      <w:lvlJc w:val="left"/>
      <w:pPr>
        <w:ind w:left="3030" w:hanging="420"/>
      </w:pPr>
      <w:rPr>
        <w:rFonts w:ascii="Wingdings" w:hAnsi="Wingdings" w:cs="Wingdings" w:hint="default"/>
      </w:rPr>
    </w:lvl>
    <w:lvl w:ilvl="7" w:tplc="04090003">
      <w:start w:val="1"/>
      <w:numFmt w:val="bullet"/>
      <w:lvlText w:val=""/>
      <w:lvlJc w:val="left"/>
      <w:pPr>
        <w:ind w:left="3450" w:hanging="420"/>
      </w:pPr>
      <w:rPr>
        <w:rFonts w:ascii="Wingdings" w:hAnsi="Wingdings" w:cs="Wingdings" w:hint="default"/>
      </w:rPr>
    </w:lvl>
    <w:lvl w:ilvl="8" w:tplc="04090005">
      <w:start w:val="1"/>
      <w:numFmt w:val="bullet"/>
      <w:lvlText w:val=""/>
      <w:lvlJc w:val="left"/>
      <w:pPr>
        <w:ind w:left="3870" w:hanging="420"/>
      </w:pPr>
      <w:rPr>
        <w:rFonts w:ascii="Wingdings" w:hAnsi="Wingdings" w:cs="Wingdings" w:hint="default"/>
      </w:rPr>
    </w:lvl>
  </w:abstractNum>
  <w:num w:numId="1">
    <w:abstractNumId w:val="8"/>
  </w:num>
  <w:num w:numId="2">
    <w:abstractNumId w:val="5"/>
  </w:num>
  <w:num w:numId="3">
    <w:abstractNumId w:val="4"/>
  </w:num>
  <w:num w:numId="4">
    <w:abstractNumId w:val="0"/>
  </w:num>
  <w:num w:numId="5">
    <w:abstractNumId w:val="2"/>
  </w:num>
  <w:num w:numId="6">
    <w:abstractNumId w:val="12"/>
  </w:num>
  <w:num w:numId="7">
    <w:abstractNumId w:val="6"/>
  </w:num>
  <w:num w:numId="8">
    <w:abstractNumId w:val="16"/>
  </w:num>
  <w:num w:numId="9">
    <w:abstractNumId w:val="10"/>
  </w:num>
  <w:num w:numId="10">
    <w:abstractNumId w:val="15"/>
  </w:num>
  <w:num w:numId="11">
    <w:abstractNumId w:val="9"/>
  </w:num>
  <w:num w:numId="12">
    <w:abstractNumId w:val="7"/>
  </w:num>
  <w:num w:numId="13">
    <w:abstractNumId w:val="13"/>
  </w:num>
  <w:num w:numId="14">
    <w:abstractNumId w:val="14"/>
  </w:num>
  <w:num w:numId="15">
    <w:abstractNumId w:val="11"/>
  </w:num>
  <w:num w:numId="16">
    <w:abstractNumId w:val="1"/>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37B5A"/>
    <w:rsid w:val="00006599"/>
    <w:rsid w:val="000244CE"/>
    <w:rsid w:val="00080A87"/>
    <w:rsid w:val="00083CF4"/>
    <w:rsid w:val="00137B5A"/>
    <w:rsid w:val="00143E49"/>
    <w:rsid w:val="001679DB"/>
    <w:rsid w:val="00185817"/>
    <w:rsid w:val="001A4703"/>
    <w:rsid w:val="001C69A7"/>
    <w:rsid w:val="001F25F9"/>
    <w:rsid w:val="002A2DD2"/>
    <w:rsid w:val="002A3929"/>
    <w:rsid w:val="002C4569"/>
    <w:rsid w:val="002F3607"/>
    <w:rsid w:val="00301098"/>
    <w:rsid w:val="003331AF"/>
    <w:rsid w:val="003A5161"/>
    <w:rsid w:val="003B11B0"/>
    <w:rsid w:val="003C0EA8"/>
    <w:rsid w:val="003E5B9B"/>
    <w:rsid w:val="004208FA"/>
    <w:rsid w:val="004248A5"/>
    <w:rsid w:val="004601FE"/>
    <w:rsid w:val="004606B3"/>
    <w:rsid w:val="004B1947"/>
    <w:rsid w:val="00521EAC"/>
    <w:rsid w:val="00525428"/>
    <w:rsid w:val="00545D27"/>
    <w:rsid w:val="0061003F"/>
    <w:rsid w:val="006300A8"/>
    <w:rsid w:val="006A1EAB"/>
    <w:rsid w:val="006C7185"/>
    <w:rsid w:val="006D73D7"/>
    <w:rsid w:val="00732137"/>
    <w:rsid w:val="00742809"/>
    <w:rsid w:val="007A1711"/>
    <w:rsid w:val="007A1969"/>
    <w:rsid w:val="00806AC1"/>
    <w:rsid w:val="00812405"/>
    <w:rsid w:val="00821AE7"/>
    <w:rsid w:val="008423F7"/>
    <w:rsid w:val="00842C0D"/>
    <w:rsid w:val="008755FB"/>
    <w:rsid w:val="0087620B"/>
    <w:rsid w:val="0088115E"/>
    <w:rsid w:val="00955D18"/>
    <w:rsid w:val="009578F4"/>
    <w:rsid w:val="009861E5"/>
    <w:rsid w:val="009C0AE8"/>
    <w:rsid w:val="00A26E56"/>
    <w:rsid w:val="00A362C2"/>
    <w:rsid w:val="00AA755F"/>
    <w:rsid w:val="00AF276E"/>
    <w:rsid w:val="00B14E30"/>
    <w:rsid w:val="00B16DB3"/>
    <w:rsid w:val="00B60FD6"/>
    <w:rsid w:val="00BA6238"/>
    <w:rsid w:val="00BA635F"/>
    <w:rsid w:val="00CB0F30"/>
    <w:rsid w:val="00CD28D2"/>
    <w:rsid w:val="00CD7213"/>
    <w:rsid w:val="00D23F53"/>
    <w:rsid w:val="00D438C1"/>
    <w:rsid w:val="00D668E8"/>
    <w:rsid w:val="00D71417"/>
    <w:rsid w:val="00D9768B"/>
    <w:rsid w:val="00EC3F65"/>
    <w:rsid w:val="00EC6F41"/>
    <w:rsid w:val="00F403BF"/>
    <w:rsid w:val="00FC3C22"/>
    <w:rsid w:val="00FE05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D27"/>
    <w:pPr>
      <w:widowControl w:val="0"/>
      <w:jc w:val="both"/>
    </w:pPr>
  </w:style>
  <w:style w:type="paragraph" w:styleId="1">
    <w:name w:val="heading 1"/>
    <w:basedOn w:val="a"/>
    <w:next w:val="a"/>
    <w:link w:val="1Char"/>
    <w:qFormat/>
    <w:rsid w:val="001F25F9"/>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55FB"/>
    <w:pPr>
      <w:widowControl/>
      <w:spacing w:before="100" w:beforeAutospacing="1" w:after="100" w:afterAutospacing="1"/>
      <w:jc w:val="left"/>
    </w:pPr>
    <w:rPr>
      <w:rFonts w:ascii="宋体" w:eastAsia="宋体" w:hAnsi="宋体" w:cs="宋体"/>
      <w:kern w:val="0"/>
      <w:sz w:val="18"/>
      <w:szCs w:val="18"/>
    </w:rPr>
  </w:style>
  <w:style w:type="character" w:styleId="a4">
    <w:name w:val="Strong"/>
    <w:basedOn w:val="a0"/>
    <w:qFormat/>
    <w:rsid w:val="008755FB"/>
    <w:rPr>
      <w:b/>
      <w:bCs/>
    </w:rPr>
  </w:style>
  <w:style w:type="paragraph" w:styleId="a5">
    <w:name w:val="header"/>
    <w:basedOn w:val="a"/>
    <w:link w:val="Char"/>
    <w:uiPriority w:val="99"/>
    <w:unhideWhenUsed/>
    <w:rsid w:val="006100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1003F"/>
    <w:rPr>
      <w:sz w:val="18"/>
      <w:szCs w:val="18"/>
    </w:rPr>
  </w:style>
  <w:style w:type="paragraph" w:styleId="a6">
    <w:name w:val="footer"/>
    <w:basedOn w:val="a"/>
    <w:link w:val="Char0"/>
    <w:uiPriority w:val="99"/>
    <w:unhideWhenUsed/>
    <w:rsid w:val="0061003F"/>
    <w:pPr>
      <w:tabs>
        <w:tab w:val="center" w:pos="4153"/>
        <w:tab w:val="right" w:pos="8306"/>
      </w:tabs>
      <w:snapToGrid w:val="0"/>
      <w:jc w:val="left"/>
    </w:pPr>
    <w:rPr>
      <w:sz w:val="18"/>
      <w:szCs w:val="18"/>
    </w:rPr>
  </w:style>
  <w:style w:type="character" w:customStyle="1" w:styleId="Char0">
    <w:name w:val="页脚 Char"/>
    <w:basedOn w:val="a0"/>
    <w:link w:val="a6"/>
    <w:uiPriority w:val="99"/>
    <w:rsid w:val="0061003F"/>
    <w:rPr>
      <w:sz w:val="18"/>
      <w:szCs w:val="18"/>
    </w:rPr>
  </w:style>
  <w:style w:type="character" w:customStyle="1" w:styleId="1Char">
    <w:name w:val="标题 1 Char"/>
    <w:basedOn w:val="a0"/>
    <w:link w:val="1"/>
    <w:rsid w:val="001F25F9"/>
    <w:rPr>
      <w:rFonts w:ascii="Times New Roman" w:eastAsia="宋体" w:hAnsi="Times New Roman" w:cs="Times New Roman"/>
      <w:b/>
      <w:bCs/>
      <w:kern w:val="44"/>
      <w:sz w:val="44"/>
      <w:szCs w:val="44"/>
    </w:rPr>
  </w:style>
  <w:style w:type="numbering" w:customStyle="1" w:styleId="10">
    <w:name w:val="无列表1"/>
    <w:next w:val="a2"/>
    <w:uiPriority w:val="99"/>
    <w:semiHidden/>
    <w:unhideWhenUsed/>
    <w:rsid w:val="001F25F9"/>
  </w:style>
  <w:style w:type="character" w:styleId="a7">
    <w:name w:val="page number"/>
    <w:basedOn w:val="a0"/>
    <w:rsid w:val="001F25F9"/>
  </w:style>
  <w:style w:type="paragraph" w:styleId="a8">
    <w:name w:val="Body Text Indent"/>
    <w:basedOn w:val="a"/>
    <w:link w:val="Char1"/>
    <w:rsid w:val="001F25F9"/>
    <w:pPr>
      <w:ind w:firstLineChars="171" w:firstLine="359"/>
    </w:pPr>
    <w:rPr>
      <w:rFonts w:ascii="Times New Roman" w:eastAsia="宋体" w:hAnsi="Times New Roman" w:cs="Times New Roman"/>
      <w:szCs w:val="24"/>
    </w:rPr>
  </w:style>
  <w:style w:type="character" w:customStyle="1" w:styleId="Char1">
    <w:name w:val="正文文本缩进 Char"/>
    <w:basedOn w:val="a0"/>
    <w:link w:val="a8"/>
    <w:rsid w:val="001F25F9"/>
    <w:rPr>
      <w:rFonts w:ascii="Times New Roman" w:eastAsia="宋体" w:hAnsi="Times New Roman" w:cs="Times New Roman"/>
      <w:szCs w:val="24"/>
    </w:rPr>
  </w:style>
  <w:style w:type="paragraph" w:styleId="a9">
    <w:name w:val="Balloon Text"/>
    <w:basedOn w:val="a"/>
    <w:link w:val="Char2"/>
    <w:uiPriority w:val="99"/>
    <w:semiHidden/>
    <w:rsid w:val="001F25F9"/>
    <w:rPr>
      <w:rFonts w:ascii="Times New Roman" w:eastAsia="宋体" w:hAnsi="Times New Roman" w:cs="Times New Roman"/>
      <w:sz w:val="18"/>
      <w:szCs w:val="18"/>
    </w:rPr>
  </w:style>
  <w:style w:type="character" w:customStyle="1" w:styleId="Char2">
    <w:name w:val="批注框文本 Char"/>
    <w:basedOn w:val="a0"/>
    <w:link w:val="a9"/>
    <w:uiPriority w:val="99"/>
    <w:semiHidden/>
    <w:rsid w:val="001F25F9"/>
    <w:rPr>
      <w:rFonts w:ascii="Times New Roman" w:eastAsia="宋体" w:hAnsi="Times New Roman" w:cs="Times New Roman"/>
      <w:sz w:val="18"/>
      <w:szCs w:val="18"/>
    </w:rPr>
  </w:style>
  <w:style w:type="character" w:styleId="aa">
    <w:name w:val="Hyperlink"/>
    <w:rsid w:val="001F25F9"/>
    <w:rPr>
      <w:strike w:val="0"/>
      <w:dstrike w:val="0"/>
      <w:color w:val="338DE6"/>
      <w:u w:val="none"/>
      <w:effect w:val="none"/>
    </w:rPr>
  </w:style>
  <w:style w:type="character" w:styleId="ab">
    <w:name w:val="FollowedHyperlink"/>
    <w:uiPriority w:val="99"/>
    <w:unhideWhenUsed/>
    <w:rsid w:val="001F25F9"/>
    <w:rPr>
      <w:color w:val="800080"/>
      <w:u w:val="single"/>
    </w:rPr>
  </w:style>
  <w:style w:type="numbering" w:customStyle="1" w:styleId="11">
    <w:name w:val="无列表11"/>
    <w:next w:val="a2"/>
    <w:uiPriority w:val="99"/>
    <w:semiHidden/>
    <w:unhideWhenUsed/>
    <w:rsid w:val="001F25F9"/>
  </w:style>
  <w:style w:type="table" w:styleId="ac">
    <w:name w:val="Table Grid"/>
    <w:basedOn w:val="a1"/>
    <w:uiPriority w:val="99"/>
    <w:rsid w:val="001F25F9"/>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1F25F9"/>
    <w:pPr>
      <w:ind w:firstLineChars="200" w:firstLine="420"/>
    </w:pPr>
    <w:rPr>
      <w:rFonts w:ascii="Calibri" w:eastAsia="宋体" w:hAnsi="Calibri" w:cs="Calibri"/>
      <w:szCs w:val="21"/>
    </w:rPr>
  </w:style>
  <w:style w:type="paragraph" w:styleId="ae">
    <w:name w:val="Date"/>
    <w:basedOn w:val="a"/>
    <w:next w:val="a"/>
    <w:link w:val="Char3"/>
    <w:uiPriority w:val="99"/>
    <w:rsid w:val="001F25F9"/>
    <w:pPr>
      <w:ind w:leftChars="2500" w:left="100"/>
    </w:pPr>
    <w:rPr>
      <w:rFonts w:ascii="Calibri" w:eastAsia="宋体" w:hAnsi="Calibri" w:cs="Calibri"/>
      <w:kern w:val="0"/>
      <w:sz w:val="20"/>
      <w:szCs w:val="20"/>
    </w:rPr>
  </w:style>
  <w:style w:type="character" w:customStyle="1" w:styleId="Char3">
    <w:name w:val="日期 Char"/>
    <w:basedOn w:val="a0"/>
    <w:link w:val="ae"/>
    <w:uiPriority w:val="99"/>
    <w:rsid w:val="001F25F9"/>
    <w:rPr>
      <w:rFonts w:ascii="Calibri" w:eastAsia="宋体" w:hAnsi="Calibri" w:cs="Calibri"/>
      <w:kern w:val="0"/>
      <w:sz w:val="20"/>
      <w:szCs w:val="20"/>
    </w:rPr>
  </w:style>
  <w:style w:type="numbering" w:customStyle="1" w:styleId="2">
    <w:name w:val="无列表2"/>
    <w:next w:val="a2"/>
    <w:uiPriority w:val="99"/>
    <w:semiHidden/>
    <w:unhideWhenUsed/>
    <w:rsid w:val="001F25F9"/>
  </w:style>
  <w:style w:type="paragraph" w:styleId="TOC">
    <w:name w:val="TOC Heading"/>
    <w:basedOn w:val="1"/>
    <w:next w:val="a"/>
    <w:uiPriority w:val="39"/>
    <w:semiHidden/>
    <w:unhideWhenUsed/>
    <w:qFormat/>
    <w:rsid w:val="001F25F9"/>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1F25F9"/>
    <w:pPr>
      <w:widowControl/>
      <w:spacing w:after="100" w:line="276" w:lineRule="auto"/>
      <w:ind w:left="220"/>
      <w:jc w:val="left"/>
    </w:pPr>
    <w:rPr>
      <w:rFonts w:ascii="Calibri" w:eastAsia="宋体" w:hAnsi="Calibri" w:cs="Times New Roman"/>
      <w:kern w:val="0"/>
      <w:sz w:val="22"/>
    </w:rPr>
  </w:style>
  <w:style w:type="paragraph" w:styleId="12">
    <w:name w:val="toc 1"/>
    <w:basedOn w:val="a"/>
    <w:next w:val="a"/>
    <w:autoRedefine/>
    <w:uiPriority w:val="39"/>
    <w:unhideWhenUsed/>
    <w:qFormat/>
    <w:rsid w:val="001F25F9"/>
    <w:pPr>
      <w:widowControl/>
      <w:spacing w:after="100" w:line="276" w:lineRule="auto"/>
      <w:jc w:val="left"/>
    </w:pPr>
    <w:rPr>
      <w:rFonts w:ascii="Calibri" w:eastAsia="宋体" w:hAnsi="Calibri" w:cs="Times New Roman"/>
      <w:kern w:val="0"/>
      <w:sz w:val="22"/>
    </w:rPr>
  </w:style>
  <w:style w:type="paragraph" w:styleId="3">
    <w:name w:val="toc 3"/>
    <w:basedOn w:val="a"/>
    <w:next w:val="a"/>
    <w:autoRedefine/>
    <w:uiPriority w:val="39"/>
    <w:unhideWhenUsed/>
    <w:qFormat/>
    <w:rsid w:val="001F25F9"/>
    <w:pPr>
      <w:widowControl/>
      <w:spacing w:after="100" w:line="276" w:lineRule="auto"/>
      <w:ind w:left="440"/>
      <w:jc w:val="left"/>
    </w:pPr>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1F25F9"/>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55FB"/>
    <w:pPr>
      <w:widowControl/>
      <w:spacing w:before="100" w:beforeAutospacing="1" w:after="100" w:afterAutospacing="1"/>
      <w:jc w:val="left"/>
    </w:pPr>
    <w:rPr>
      <w:rFonts w:ascii="宋体" w:eastAsia="宋体" w:hAnsi="宋体" w:cs="宋体"/>
      <w:kern w:val="0"/>
      <w:sz w:val="18"/>
      <w:szCs w:val="18"/>
    </w:rPr>
  </w:style>
  <w:style w:type="character" w:styleId="a4">
    <w:name w:val="Strong"/>
    <w:basedOn w:val="a0"/>
    <w:qFormat/>
    <w:rsid w:val="008755FB"/>
    <w:rPr>
      <w:b/>
      <w:bCs/>
    </w:rPr>
  </w:style>
  <w:style w:type="paragraph" w:styleId="a5">
    <w:name w:val="header"/>
    <w:basedOn w:val="a"/>
    <w:link w:val="Char"/>
    <w:uiPriority w:val="99"/>
    <w:unhideWhenUsed/>
    <w:rsid w:val="006100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1003F"/>
    <w:rPr>
      <w:sz w:val="18"/>
      <w:szCs w:val="18"/>
    </w:rPr>
  </w:style>
  <w:style w:type="paragraph" w:styleId="a6">
    <w:name w:val="footer"/>
    <w:basedOn w:val="a"/>
    <w:link w:val="Char0"/>
    <w:uiPriority w:val="99"/>
    <w:unhideWhenUsed/>
    <w:rsid w:val="0061003F"/>
    <w:pPr>
      <w:tabs>
        <w:tab w:val="center" w:pos="4153"/>
        <w:tab w:val="right" w:pos="8306"/>
      </w:tabs>
      <w:snapToGrid w:val="0"/>
      <w:jc w:val="left"/>
    </w:pPr>
    <w:rPr>
      <w:sz w:val="18"/>
      <w:szCs w:val="18"/>
    </w:rPr>
  </w:style>
  <w:style w:type="character" w:customStyle="1" w:styleId="Char0">
    <w:name w:val="页脚 Char"/>
    <w:basedOn w:val="a0"/>
    <w:link w:val="a6"/>
    <w:uiPriority w:val="99"/>
    <w:rsid w:val="0061003F"/>
    <w:rPr>
      <w:sz w:val="18"/>
      <w:szCs w:val="18"/>
    </w:rPr>
  </w:style>
  <w:style w:type="character" w:customStyle="1" w:styleId="1Char">
    <w:name w:val="标题 1 Char"/>
    <w:basedOn w:val="a0"/>
    <w:link w:val="1"/>
    <w:rsid w:val="001F25F9"/>
    <w:rPr>
      <w:rFonts w:ascii="Times New Roman" w:eastAsia="宋体" w:hAnsi="Times New Roman" w:cs="Times New Roman"/>
      <w:b/>
      <w:bCs/>
      <w:kern w:val="44"/>
      <w:sz w:val="44"/>
      <w:szCs w:val="44"/>
    </w:rPr>
  </w:style>
  <w:style w:type="numbering" w:customStyle="1" w:styleId="10">
    <w:name w:val="无列表1"/>
    <w:next w:val="a2"/>
    <w:uiPriority w:val="99"/>
    <w:semiHidden/>
    <w:unhideWhenUsed/>
    <w:rsid w:val="001F25F9"/>
  </w:style>
  <w:style w:type="character" w:styleId="a7">
    <w:name w:val="page number"/>
    <w:basedOn w:val="a0"/>
    <w:rsid w:val="001F25F9"/>
  </w:style>
  <w:style w:type="paragraph" w:styleId="a8">
    <w:name w:val="Body Text Indent"/>
    <w:basedOn w:val="a"/>
    <w:link w:val="Char1"/>
    <w:rsid w:val="001F25F9"/>
    <w:pPr>
      <w:ind w:firstLineChars="171" w:firstLine="359"/>
    </w:pPr>
    <w:rPr>
      <w:rFonts w:ascii="Times New Roman" w:eastAsia="宋体" w:hAnsi="Times New Roman" w:cs="Times New Roman"/>
      <w:szCs w:val="24"/>
    </w:rPr>
  </w:style>
  <w:style w:type="character" w:customStyle="1" w:styleId="Char1">
    <w:name w:val="正文文本缩进 Char"/>
    <w:basedOn w:val="a0"/>
    <w:link w:val="a8"/>
    <w:rsid w:val="001F25F9"/>
    <w:rPr>
      <w:rFonts w:ascii="Times New Roman" w:eastAsia="宋体" w:hAnsi="Times New Roman" w:cs="Times New Roman"/>
      <w:szCs w:val="24"/>
    </w:rPr>
  </w:style>
  <w:style w:type="paragraph" w:styleId="a9">
    <w:name w:val="Balloon Text"/>
    <w:basedOn w:val="a"/>
    <w:link w:val="Char2"/>
    <w:uiPriority w:val="99"/>
    <w:semiHidden/>
    <w:rsid w:val="001F25F9"/>
    <w:rPr>
      <w:rFonts w:ascii="Times New Roman" w:eastAsia="宋体" w:hAnsi="Times New Roman" w:cs="Times New Roman"/>
      <w:sz w:val="18"/>
      <w:szCs w:val="18"/>
    </w:rPr>
  </w:style>
  <w:style w:type="character" w:customStyle="1" w:styleId="Char2">
    <w:name w:val="批注框文本 Char"/>
    <w:basedOn w:val="a0"/>
    <w:link w:val="a9"/>
    <w:uiPriority w:val="99"/>
    <w:semiHidden/>
    <w:rsid w:val="001F25F9"/>
    <w:rPr>
      <w:rFonts w:ascii="Times New Roman" w:eastAsia="宋体" w:hAnsi="Times New Roman" w:cs="Times New Roman"/>
      <w:sz w:val="18"/>
      <w:szCs w:val="18"/>
    </w:rPr>
  </w:style>
  <w:style w:type="character" w:styleId="aa">
    <w:name w:val="Hyperlink"/>
    <w:rsid w:val="001F25F9"/>
    <w:rPr>
      <w:strike w:val="0"/>
      <w:dstrike w:val="0"/>
      <w:color w:val="338DE6"/>
      <w:u w:val="none"/>
      <w:effect w:val="none"/>
    </w:rPr>
  </w:style>
  <w:style w:type="character" w:styleId="ab">
    <w:name w:val="FollowedHyperlink"/>
    <w:uiPriority w:val="99"/>
    <w:unhideWhenUsed/>
    <w:rsid w:val="001F25F9"/>
    <w:rPr>
      <w:color w:val="800080"/>
      <w:u w:val="single"/>
    </w:rPr>
  </w:style>
  <w:style w:type="numbering" w:customStyle="1" w:styleId="11">
    <w:name w:val="无列表11"/>
    <w:next w:val="a2"/>
    <w:uiPriority w:val="99"/>
    <w:semiHidden/>
    <w:unhideWhenUsed/>
    <w:rsid w:val="001F25F9"/>
  </w:style>
  <w:style w:type="table" w:styleId="ac">
    <w:name w:val="Table Grid"/>
    <w:basedOn w:val="a1"/>
    <w:uiPriority w:val="99"/>
    <w:rsid w:val="001F25F9"/>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1F25F9"/>
    <w:pPr>
      <w:ind w:firstLineChars="200" w:firstLine="420"/>
    </w:pPr>
    <w:rPr>
      <w:rFonts w:ascii="Calibri" w:eastAsia="宋体" w:hAnsi="Calibri" w:cs="Calibri"/>
      <w:szCs w:val="21"/>
    </w:rPr>
  </w:style>
  <w:style w:type="paragraph" w:styleId="ae">
    <w:name w:val="Date"/>
    <w:basedOn w:val="a"/>
    <w:next w:val="a"/>
    <w:link w:val="Char3"/>
    <w:uiPriority w:val="99"/>
    <w:rsid w:val="001F25F9"/>
    <w:pPr>
      <w:ind w:leftChars="2500" w:left="100"/>
    </w:pPr>
    <w:rPr>
      <w:rFonts w:ascii="Calibri" w:eastAsia="宋体" w:hAnsi="Calibri" w:cs="Calibri"/>
      <w:kern w:val="0"/>
      <w:sz w:val="20"/>
      <w:szCs w:val="20"/>
    </w:rPr>
  </w:style>
  <w:style w:type="character" w:customStyle="1" w:styleId="Char3">
    <w:name w:val="日期 Char"/>
    <w:basedOn w:val="a0"/>
    <w:link w:val="ae"/>
    <w:uiPriority w:val="99"/>
    <w:rsid w:val="001F25F9"/>
    <w:rPr>
      <w:rFonts w:ascii="Calibri" w:eastAsia="宋体" w:hAnsi="Calibri" w:cs="Calibri"/>
      <w:kern w:val="0"/>
      <w:sz w:val="20"/>
      <w:szCs w:val="20"/>
    </w:rPr>
  </w:style>
  <w:style w:type="numbering" w:customStyle="1" w:styleId="2">
    <w:name w:val="无列表2"/>
    <w:next w:val="a2"/>
    <w:uiPriority w:val="99"/>
    <w:semiHidden/>
    <w:unhideWhenUsed/>
    <w:rsid w:val="001F25F9"/>
  </w:style>
  <w:style w:type="paragraph" w:styleId="TOC">
    <w:name w:val="TOC Heading"/>
    <w:basedOn w:val="1"/>
    <w:next w:val="a"/>
    <w:uiPriority w:val="39"/>
    <w:semiHidden/>
    <w:unhideWhenUsed/>
    <w:qFormat/>
    <w:rsid w:val="001F25F9"/>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1F25F9"/>
    <w:pPr>
      <w:widowControl/>
      <w:spacing w:after="100" w:line="276" w:lineRule="auto"/>
      <w:ind w:left="220"/>
      <w:jc w:val="left"/>
    </w:pPr>
    <w:rPr>
      <w:rFonts w:ascii="Calibri" w:eastAsia="宋体" w:hAnsi="Calibri" w:cs="Times New Roman"/>
      <w:kern w:val="0"/>
      <w:sz w:val="22"/>
    </w:rPr>
  </w:style>
  <w:style w:type="paragraph" w:styleId="12">
    <w:name w:val="toc 1"/>
    <w:basedOn w:val="a"/>
    <w:next w:val="a"/>
    <w:autoRedefine/>
    <w:uiPriority w:val="39"/>
    <w:unhideWhenUsed/>
    <w:qFormat/>
    <w:rsid w:val="001F25F9"/>
    <w:pPr>
      <w:widowControl/>
      <w:spacing w:after="100" w:line="276" w:lineRule="auto"/>
      <w:jc w:val="left"/>
    </w:pPr>
    <w:rPr>
      <w:rFonts w:ascii="Calibri" w:eastAsia="宋体" w:hAnsi="Calibri" w:cs="Times New Roman"/>
      <w:kern w:val="0"/>
      <w:sz w:val="22"/>
    </w:rPr>
  </w:style>
  <w:style w:type="paragraph" w:styleId="3">
    <w:name w:val="toc 3"/>
    <w:basedOn w:val="a"/>
    <w:next w:val="a"/>
    <w:autoRedefine/>
    <w:uiPriority w:val="39"/>
    <w:unhideWhenUsed/>
    <w:qFormat/>
    <w:rsid w:val="001F25F9"/>
    <w:pPr>
      <w:widowControl/>
      <w:spacing w:after="100" w:line="276" w:lineRule="auto"/>
      <w:ind w:left="440"/>
      <w:jc w:val="left"/>
    </w:pPr>
    <w:rPr>
      <w:rFonts w:ascii="Calibri" w:eastAsia="宋体" w:hAnsi="Calibri" w:cs="Times New Roman"/>
      <w:kern w:val="0"/>
      <w:sz w:val="22"/>
    </w:rPr>
  </w:style>
</w:styles>
</file>

<file path=word/webSettings.xml><?xml version="1.0" encoding="utf-8"?>
<w:webSettings xmlns:r="http://schemas.openxmlformats.org/officeDocument/2006/relationships" xmlns:w="http://schemas.openxmlformats.org/wordprocessingml/2006/main">
  <w:divs>
    <w:div w:id="101851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file:///C:\Documents%20and%20Settings\Administrator\Application%20Data\SogouExplorer\Documents\Tencent%20Files\595097741\Image\C2C\%60%5dF%5dJ%5dU~B(5ST1I%60GIDEAT9.png"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6.xm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file:///C:\Documents%20and%20Settings\Administrator\Application%20Data\SogouExplorer\Documents\Tencent%20Files\595097741\Image\C2C\MU%253%5dE%7d8OFC3QWRSP6WW0RP.pn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baidu.com/s?wd=%E9%80%9A%E8%BF%9C%E5%A0%A1%E9%AB%98%E4%B8%AD&amp;tn=44039180_cpr&amp;fenlei=mv6quAkxTZn0IZRqIHckPjm4nH00T1d9rAF9nvPbPH-9mWuhm1F-0ZwV5Hcvrjm3rH6sPfKWUMw85HfYnjn4nH6sgvPsT6KdThsqpZwYTjCEQLGCpyw9Uz4Bmy-bIi4WUvYETgN-TLwGUv3EPjfkPjT1PWbs" TargetMode="External"/><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11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121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1313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1414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151515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6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71717171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398"/>
            </a:pPr>
            <a:r>
              <a:rPr lang="zh-CN" altLang="en-US" sz="1398"/>
              <a:t>辽宁省各专业平均分与控制线分差图</a:t>
            </a:r>
          </a:p>
        </c:rich>
      </c:tx>
      <c:layout>
        <c:manualLayout>
          <c:xMode val="edge"/>
          <c:yMode val="edge"/>
          <c:x val="0.25561464470406547"/>
          <c:y val="4.8011052638520693E-2"/>
        </c:manualLayout>
      </c:layout>
      <c:spPr>
        <a:noFill/>
        <a:ln w="25360">
          <a:noFill/>
        </a:ln>
      </c:spPr>
    </c:title>
    <c:plotArea>
      <c:layout>
        <c:manualLayout>
          <c:layoutTarget val="inner"/>
          <c:xMode val="edge"/>
          <c:yMode val="edge"/>
          <c:x val="0.12039660056657249"/>
          <c:y val="0.21859296482412097"/>
          <c:w val="0.79036827195467418"/>
          <c:h val="0.4874371859296493"/>
        </c:manualLayout>
      </c:layout>
      <c:lineChart>
        <c:grouping val="standard"/>
        <c:ser>
          <c:idx val="0"/>
          <c:order val="0"/>
          <c:tx>
            <c:v>分差</c:v>
          </c:tx>
          <c:dLbls>
            <c:dLbl>
              <c:idx val="0"/>
              <c:layout>
                <c:manualLayout>
                  <c:x val="-7.0126227208976329E-3"/>
                  <c:y val="3.429355281207139E-3"/>
                </c:manualLayout>
              </c:layout>
              <c:spPr>
                <a:noFill/>
                <a:ln w="25360">
                  <a:noFill/>
                </a:ln>
              </c:spPr>
              <c:txPr>
                <a:bodyPr/>
                <a:lstStyle/>
                <a:p>
                  <a:pPr>
                    <a:defRPr/>
                  </a:pPr>
                  <a:endParaRPr lang="zh-CN"/>
                </a:p>
              </c:txPr>
              <c:dLblPos val="r"/>
              <c:showVal val="1"/>
            </c:dLbl>
            <c:dLbl>
              <c:idx val="1"/>
              <c:layout>
                <c:manualLayout>
                  <c:x val="-7.0126227208976329E-3"/>
                  <c:y val="-1.7146776406035669E-2"/>
                </c:manualLayout>
              </c:layout>
              <c:spPr>
                <a:noFill/>
                <a:ln w="25360">
                  <a:noFill/>
                </a:ln>
              </c:spPr>
              <c:txPr>
                <a:bodyPr/>
                <a:lstStyle/>
                <a:p>
                  <a:pPr>
                    <a:defRPr/>
                  </a:pPr>
                  <a:endParaRPr lang="zh-CN"/>
                </a:p>
              </c:txPr>
              <c:dLblPos val="r"/>
              <c:showVal val="1"/>
            </c:dLbl>
            <c:dLbl>
              <c:idx val="2"/>
              <c:layout>
                <c:manualLayout>
                  <c:x val="-2.1037868162692885E-2"/>
                  <c:y val="3.7722908093278461E-2"/>
                </c:manualLayout>
              </c:layout>
              <c:spPr>
                <a:noFill/>
                <a:ln w="25360">
                  <a:noFill/>
                </a:ln>
              </c:spPr>
              <c:txPr>
                <a:bodyPr/>
                <a:lstStyle/>
                <a:p>
                  <a:pPr>
                    <a:defRPr/>
                  </a:pPr>
                  <a:endParaRPr lang="zh-CN"/>
                </a:p>
              </c:txPr>
              <c:dLblPos val="r"/>
              <c:showVal val="1"/>
            </c:dLbl>
            <c:dLbl>
              <c:idx val="3"/>
              <c:layout>
                <c:manualLayout>
                  <c:x val="-1.6362970407100261E-2"/>
                  <c:y val="2.0576131687242802E-2"/>
                </c:manualLayout>
              </c:layout>
              <c:spPr>
                <a:noFill/>
                <a:ln w="25360">
                  <a:noFill/>
                </a:ln>
              </c:spPr>
              <c:txPr>
                <a:bodyPr/>
                <a:lstStyle/>
                <a:p>
                  <a:pPr>
                    <a:defRPr/>
                  </a:pPr>
                  <a:endParaRPr lang="zh-CN"/>
                </a:p>
              </c:txPr>
              <c:dLblPos val="r"/>
              <c:showVal val="1"/>
            </c:dLbl>
            <c:dLbl>
              <c:idx val="4"/>
              <c:layout>
                <c:manualLayout>
                  <c:x val="-9.3501636278634868E-3"/>
                  <c:y val="0"/>
                </c:manualLayout>
              </c:layout>
              <c:spPr>
                <a:noFill/>
                <a:ln w="25360">
                  <a:noFill/>
                </a:ln>
              </c:spPr>
              <c:txPr>
                <a:bodyPr/>
                <a:lstStyle/>
                <a:p>
                  <a:pPr>
                    <a:defRPr/>
                  </a:pPr>
                  <a:endParaRPr lang="zh-CN"/>
                </a:p>
              </c:txPr>
              <c:dLblPos val="r"/>
              <c:showVal val="1"/>
            </c:dLbl>
            <c:dLbl>
              <c:idx val="5"/>
              <c:layout>
                <c:manualLayout>
                  <c:x val="-1.6362786348761139E-2"/>
                  <c:y val="-2.0576131687242802E-2"/>
                </c:manualLayout>
              </c:layout>
              <c:spPr>
                <a:noFill/>
                <a:ln w="25360">
                  <a:noFill/>
                </a:ln>
              </c:spPr>
              <c:txPr>
                <a:bodyPr/>
                <a:lstStyle/>
                <a:p>
                  <a:pPr>
                    <a:defRPr/>
                  </a:pPr>
                  <a:endParaRPr lang="zh-CN"/>
                </a:p>
              </c:txPr>
              <c:dLblPos val="r"/>
              <c:showVal val="1"/>
            </c:dLbl>
            <c:dLbl>
              <c:idx val="6"/>
              <c:layout>
                <c:manualLayout>
                  <c:x val="-1.4025245441795231E-2"/>
                  <c:y val="-1.3717421124828533E-2"/>
                </c:manualLayout>
              </c:layout>
              <c:spPr>
                <a:noFill/>
                <a:ln w="25360">
                  <a:noFill/>
                </a:ln>
              </c:spPr>
              <c:txPr>
                <a:bodyPr/>
                <a:lstStyle/>
                <a:p>
                  <a:pPr>
                    <a:defRPr/>
                  </a:pPr>
                  <a:endParaRPr lang="zh-CN"/>
                </a:p>
              </c:txPr>
              <c:dLblPos val="r"/>
              <c:showVal val="1"/>
            </c:dLbl>
            <c:dLbl>
              <c:idx val="7"/>
              <c:layout>
                <c:manualLayout>
                  <c:x val="-1.4025245441795231E-2"/>
                  <c:y val="1.3717421124828533E-2"/>
                </c:manualLayout>
              </c:layout>
              <c:spPr>
                <a:noFill/>
                <a:ln w="25360">
                  <a:noFill/>
                </a:ln>
              </c:spPr>
              <c:txPr>
                <a:bodyPr/>
                <a:lstStyle/>
                <a:p>
                  <a:pPr>
                    <a:defRPr/>
                  </a:pPr>
                  <a:endParaRPr lang="zh-CN"/>
                </a:p>
              </c:txPr>
              <c:dLblPos val="r"/>
              <c:showVal val="1"/>
            </c:dLbl>
            <c:dLbl>
              <c:idx val="8"/>
              <c:layout>
                <c:manualLayout>
                  <c:x val="-2.1037868162692885E-2"/>
                  <c:y val="3.4293552812071387E-2"/>
                </c:manualLayout>
              </c:layout>
              <c:spPr>
                <a:noFill/>
                <a:ln w="25360">
                  <a:noFill/>
                </a:ln>
              </c:spPr>
              <c:txPr>
                <a:bodyPr/>
                <a:lstStyle/>
                <a:p>
                  <a:pPr>
                    <a:defRPr/>
                  </a:pPr>
                  <a:endParaRPr lang="zh-CN"/>
                </a:p>
              </c:txPr>
              <c:dLblPos val="r"/>
              <c:showVal val="1"/>
            </c:dLbl>
            <c:dLbl>
              <c:idx val="9"/>
              <c:layout>
                <c:manualLayout>
                  <c:x val="-2.5712949976624634E-2"/>
                  <c:y val="-4.4581618655692774E-2"/>
                </c:manualLayout>
              </c:layout>
              <c:spPr>
                <a:noFill/>
                <a:ln w="25360">
                  <a:noFill/>
                </a:ln>
              </c:spPr>
              <c:txPr>
                <a:bodyPr/>
                <a:lstStyle/>
                <a:p>
                  <a:pPr>
                    <a:defRPr/>
                  </a:pPr>
                  <a:endParaRPr lang="zh-CN"/>
                </a:p>
              </c:txPr>
              <c:dLblPos val="r"/>
              <c:showVal val="1"/>
            </c:dLbl>
            <c:spPr>
              <a:noFill/>
              <a:ln w="25360">
                <a:noFill/>
              </a:ln>
            </c:spPr>
            <c:showVal val="1"/>
          </c:dLbls>
          <c:cat>
            <c:strRef>
              <c:f>Sheet1!$B$11:$K$11</c:f>
              <c:strCache>
                <c:ptCount val="10"/>
                <c:pt idx="0">
                  <c:v>应化</c:v>
                </c:pt>
                <c:pt idx="1">
                  <c:v>机制</c:v>
                </c:pt>
                <c:pt idx="2">
                  <c:v>材控</c:v>
                </c:pt>
                <c:pt idx="3">
                  <c:v>材料</c:v>
                </c:pt>
                <c:pt idx="4">
                  <c:v>无机非</c:v>
                </c:pt>
                <c:pt idx="5">
                  <c:v>电气</c:v>
                </c:pt>
                <c:pt idx="6">
                  <c:v>自动化</c:v>
                </c:pt>
                <c:pt idx="7">
                  <c:v>化工</c:v>
                </c:pt>
                <c:pt idx="8">
                  <c:v>物流（理）</c:v>
                </c:pt>
                <c:pt idx="9">
                  <c:v>物流（文）</c:v>
                </c:pt>
              </c:strCache>
            </c:strRef>
          </c:cat>
          <c:val>
            <c:numRef>
              <c:f>Sheet1!$B$12:$K$12</c:f>
              <c:numCache>
                <c:formatCode>0.0_ </c:formatCode>
                <c:ptCount val="10"/>
                <c:pt idx="0">
                  <c:v>11.264367816091973</c:v>
                </c:pt>
                <c:pt idx="1">
                  <c:v>19.98591549295773</c:v>
                </c:pt>
                <c:pt idx="2">
                  <c:v>10.39325842696627</c:v>
                </c:pt>
                <c:pt idx="3">
                  <c:v>9.8602150537634543</c:v>
                </c:pt>
                <c:pt idx="4">
                  <c:v>11.441176470588232</c:v>
                </c:pt>
                <c:pt idx="5">
                  <c:v>20.058823529411768</c:v>
                </c:pt>
                <c:pt idx="6">
                  <c:v>13.688311688311646</c:v>
                </c:pt>
                <c:pt idx="7">
                  <c:v>11.576470588235296</c:v>
                </c:pt>
                <c:pt idx="8">
                  <c:v>18.923076923076906</c:v>
                </c:pt>
                <c:pt idx="9">
                  <c:v>19.324999999999992</c:v>
                </c:pt>
              </c:numCache>
            </c:numRef>
          </c:val>
        </c:ser>
        <c:marker val="1"/>
        <c:axId val="133139072"/>
        <c:axId val="133144960"/>
      </c:lineChart>
      <c:catAx>
        <c:axId val="133139072"/>
        <c:scaling>
          <c:orientation val="minMax"/>
        </c:scaling>
        <c:axPos val="b"/>
        <c:numFmt formatCode="General" sourceLinked="1"/>
        <c:majorTickMark val="none"/>
        <c:tickLblPos val="nextTo"/>
        <c:txPr>
          <a:bodyPr rot="0" vert="eaVert"/>
          <a:lstStyle/>
          <a:p>
            <a:pPr>
              <a:defRPr/>
            </a:pPr>
            <a:endParaRPr lang="zh-CN"/>
          </a:p>
        </c:txPr>
        <c:crossAx val="133144960"/>
        <c:crosses val="autoZero"/>
        <c:lblAlgn val="ctr"/>
        <c:lblOffset val="100"/>
      </c:catAx>
      <c:valAx>
        <c:axId val="133144960"/>
        <c:scaling>
          <c:orientation val="minMax"/>
        </c:scaling>
        <c:axPos val="l"/>
        <c:majorGridlines/>
        <c:numFmt formatCode="0.0_ " sourceLinked="1"/>
        <c:majorTickMark val="none"/>
        <c:tickLblPos val="nextTo"/>
        <c:crossAx val="133139072"/>
        <c:crosses val="autoZero"/>
        <c:crossBetween val="between"/>
      </c:valAx>
    </c:plotArea>
    <c:legend>
      <c:legendPos val="r"/>
      <c:layout>
        <c:manualLayout>
          <c:xMode val="edge"/>
          <c:yMode val="edge"/>
          <c:x val="0.43209876543209935"/>
          <c:y val="0.125"/>
          <c:w val="0.11463844797178151"/>
          <c:h val="6.25E-2"/>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style val="10"/>
  <c:clrMapOvr bg1="lt1" tx1="dk1" bg2="lt2" tx2="dk2" accent1="accent1" accent2="accent2" accent3="accent3" accent4="accent4" accent5="accent5" accent6="accent6" hlink="hlink" folHlink="folHlink"/>
  <c:chart>
    <c:title>
      <c:tx>
        <c:rich>
          <a:bodyPr/>
          <a:lstStyle/>
          <a:p>
            <a:pPr>
              <a:defRPr/>
            </a:pPr>
            <a:r>
              <a:rPr lang="zh-CN" altLang="en-US" sz="721" b="0"/>
              <a:t>辽宁省（文科）各分数段考生人数分布表</a:t>
            </a:r>
          </a:p>
        </c:rich>
      </c:tx>
    </c:title>
    <c:view3D>
      <c:rotX val="30"/>
      <c:perspective val="30"/>
    </c:view3D>
    <c:plotArea>
      <c:layout/>
      <c:pie3DChart>
        <c:varyColors val="1"/>
        <c:ser>
          <c:idx val="0"/>
          <c:order val="0"/>
          <c:tx>
            <c:strRef>
              <c:f>Sheet1!$B$1</c:f>
              <c:strCache>
                <c:ptCount val="1"/>
                <c:pt idx="0">
                  <c:v>辽宁省（文科）各分数段人数比例表</c:v>
                </c:pt>
              </c:strCache>
            </c:strRef>
          </c:tx>
          <c:explosion val="25"/>
          <c:dPt>
            <c:idx val="1"/>
            <c:explosion val="12"/>
          </c:dPt>
          <c:dLbls>
            <c:dLbl>
              <c:idx val="0"/>
              <c:layout>
                <c:manualLayout>
                  <c:x val="0.14651963953578806"/>
                  <c:y val="4.3511047187213062E-2"/>
                </c:manualLayout>
              </c:layout>
              <c:spPr/>
              <c:txPr>
                <a:bodyPr/>
                <a:lstStyle/>
                <a:p>
                  <a:pPr>
                    <a:defRPr/>
                  </a:pPr>
                  <a:endParaRPr lang="zh-CN"/>
                </a:p>
              </c:txPr>
              <c:dLblPos val="bestFit"/>
              <c:showCatName val="1"/>
              <c:showPercent val="1"/>
            </c:dLbl>
            <c:dLbl>
              <c:idx val="1"/>
              <c:layout>
                <c:manualLayout>
                  <c:x val="3.9216504149357928E-3"/>
                  <c:y val="9.4560347139270709E-2"/>
                </c:manualLayout>
              </c:layout>
              <c:tx>
                <c:rich>
                  <a:bodyPr/>
                  <a:lstStyle/>
                  <a:p>
                    <a:pPr>
                      <a:defRPr/>
                    </a:pPr>
                    <a:r>
                      <a:rPr lang="en-US" altLang="en-US"/>
                      <a:t>B
62.5%</a:t>
                    </a:r>
                  </a:p>
                </c:rich>
              </c:tx>
              <c:spPr/>
              <c:dLblPos val="bestFit"/>
            </c:dLbl>
            <c:dLbl>
              <c:idx val="2"/>
              <c:layout>
                <c:manualLayout>
                  <c:x val="-5.5440806475159643E-2"/>
                  <c:y val="0.11384737898474734"/>
                </c:manualLayout>
              </c:layout>
              <c:spPr/>
              <c:txPr>
                <a:bodyPr/>
                <a:lstStyle/>
                <a:p>
                  <a:pPr>
                    <a:defRPr/>
                  </a:pPr>
                  <a:endParaRPr lang="zh-CN"/>
                </a:p>
              </c:txPr>
              <c:dLblPos val="bestFit"/>
              <c:showCatName val="1"/>
              <c:showPercent val="1"/>
            </c:dLbl>
            <c:dLbl>
              <c:idx val="3"/>
              <c:layout>
                <c:manualLayout>
                  <c:x val="-0.14818260587640883"/>
                  <c:y val="1.6788474196143488E-2"/>
                </c:manualLayout>
              </c:layout>
              <c:tx>
                <c:rich>
                  <a:bodyPr/>
                  <a:lstStyle/>
                  <a:p>
                    <a:pPr>
                      <a:defRPr/>
                    </a:pPr>
                    <a:r>
                      <a:rPr lang="en-US" altLang="en-US"/>
                      <a:t>D
2.5%</a:t>
                    </a:r>
                  </a:p>
                </c:rich>
              </c:tx>
              <c:spPr/>
              <c:dLblPos val="bestFit"/>
            </c:dLbl>
            <c:showCatName val="1"/>
            <c:showPercent val="1"/>
            <c:showLeaderLines val="1"/>
          </c:dLbls>
          <c:cat>
            <c:strRef>
              <c:f>Sheet1!$A$2:$A$5</c:f>
              <c:strCache>
                <c:ptCount val="4"/>
                <c:pt idx="0">
                  <c:v>A</c:v>
                </c:pt>
                <c:pt idx="1">
                  <c:v>B</c:v>
                </c:pt>
                <c:pt idx="2">
                  <c:v>C</c:v>
                </c:pt>
                <c:pt idx="3">
                  <c:v>D</c:v>
                </c:pt>
              </c:strCache>
            </c:strRef>
          </c:cat>
          <c:val>
            <c:numRef>
              <c:f>Sheet1!$B$2:$B$5</c:f>
              <c:numCache>
                <c:formatCode>General</c:formatCode>
                <c:ptCount val="4"/>
                <c:pt idx="0">
                  <c:v>0</c:v>
                </c:pt>
                <c:pt idx="1">
                  <c:v>62.5</c:v>
                </c:pt>
                <c:pt idx="2">
                  <c:v>35</c:v>
                </c:pt>
                <c:pt idx="3">
                  <c:v>1.5</c:v>
                </c:pt>
              </c:numCache>
            </c:numRef>
          </c:val>
        </c:ser>
      </c:pie3DChart>
      <c:spPr>
        <a:noFill/>
        <a:ln w="18313">
          <a:noFill/>
        </a:ln>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10"/>
  <c:clrMapOvr bg1="lt1" tx1="dk1" bg2="lt2" tx2="dk2" accent1="accent1" accent2="accent2" accent3="accent3" accent4="accent4" accent5="accent5" accent6="accent6" hlink="hlink" folHlink="folHlink"/>
  <c:chart>
    <c:title>
      <c:tx>
        <c:rich>
          <a:bodyPr/>
          <a:lstStyle/>
          <a:p>
            <a:pPr>
              <a:defRPr sz="1000" b="0"/>
            </a:pPr>
            <a:r>
              <a:rPr lang="zh-CN" altLang="en-US" sz="1000" b="0"/>
              <a:t>辽宁省（理科）各分数考生段人数分布图</a:t>
            </a:r>
          </a:p>
        </c:rich>
      </c:tx>
      <c:spPr>
        <a:noFill/>
        <a:ln w="25399">
          <a:noFill/>
        </a:ln>
      </c:spPr>
    </c:title>
    <c:view3D>
      <c:rotX val="30"/>
      <c:perspective val="30"/>
    </c:view3D>
    <c:plotArea>
      <c:layout/>
      <c:pie3DChart>
        <c:varyColors val="1"/>
        <c:ser>
          <c:idx val="0"/>
          <c:order val="0"/>
          <c:tx>
            <c:strRef>
              <c:f>Sheet1!$B$1</c:f>
              <c:strCache>
                <c:ptCount val="1"/>
                <c:pt idx="0">
                  <c:v>辽宁省（理科）各分数段人数比例表</c:v>
                </c:pt>
              </c:strCache>
            </c:strRef>
          </c:tx>
          <c:explosion val="25"/>
          <c:dLbls>
            <c:dLbl>
              <c:idx val="0"/>
              <c:layout>
                <c:manualLayout>
                  <c:x val="0.11283902538910301"/>
                  <c:y val="-1.4066941322737135E-2"/>
                </c:manualLayout>
              </c:layout>
              <c:spPr>
                <a:noFill/>
                <a:ln w="25399">
                  <a:noFill/>
                </a:ln>
              </c:spPr>
              <c:txPr>
                <a:bodyPr/>
                <a:lstStyle/>
                <a:p>
                  <a:pPr>
                    <a:defRPr/>
                  </a:pPr>
                  <a:endParaRPr lang="zh-CN"/>
                </a:p>
              </c:txPr>
              <c:dLblPos val="bestFit"/>
              <c:showCatName val="1"/>
              <c:showPercent val="1"/>
            </c:dLbl>
            <c:dLbl>
              <c:idx val="1"/>
              <c:layout>
                <c:manualLayout>
                  <c:x val="-0.17638610548109657"/>
                  <c:y val="-0.25129177738231639"/>
                </c:manualLayout>
              </c:layout>
              <c:spPr>
                <a:noFill/>
                <a:ln w="25399">
                  <a:noFill/>
                </a:ln>
              </c:spPr>
              <c:txPr>
                <a:bodyPr/>
                <a:lstStyle/>
                <a:p>
                  <a:pPr>
                    <a:defRPr/>
                  </a:pPr>
                  <a:endParaRPr lang="zh-CN"/>
                </a:p>
              </c:txPr>
              <c:dLblPos val="bestFit"/>
              <c:showCatName val="1"/>
              <c:showPercent val="1"/>
            </c:dLbl>
            <c:dLbl>
              <c:idx val="2"/>
              <c:layout>
                <c:manualLayout>
                  <c:x val="-0.15970430255332063"/>
                  <c:y val="6.6399161405133952E-2"/>
                </c:manualLayout>
              </c:layout>
              <c:spPr>
                <a:noFill/>
                <a:ln w="25399">
                  <a:noFill/>
                </a:ln>
              </c:spPr>
              <c:txPr>
                <a:bodyPr/>
                <a:lstStyle/>
                <a:p>
                  <a:pPr>
                    <a:defRPr/>
                  </a:pPr>
                  <a:endParaRPr lang="zh-CN"/>
                </a:p>
              </c:txPr>
              <c:dLblPos val="bestFit"/>
              <c:showCatName val="1"/>
              <c:showPercent val="1"/>
            </c:dLbl>
            <c:dLbl>
              <c:idx val="3"/>
              <c:layout>
                <c:manualLayout>
                  <c:x val="5.2451979500636133E-2"/>
                  <c:y val="-2.6926046008954826E-3"/>
                </c:manualLayout>
              </c:layout>
              <c:spPr>
                <a:noFill/>
                <a:ln w="25399">
                  <a:noFill/>
                </a:ln>
              </c:spPr>
              <c:txPr>
                <a:bodyPr/>
                <a:lstStyle/>
                <a:p>
                  <a:pPr>
                    <a:defRPr/>
                  </a:pPr>
                  <a:endParaRPr lang="zh-CN"/>
                </a:p>
              </c:txPr>
              <c:dLblPos val="bestFit"/>
              <c:showCatName val="1"/>
              <c:showPercent val="1"/>
            </c:dLbl>
            <c:spPr>
              <a:noFill/>
              <a:ln w="25399">
                <a:noFill/>
              </a:ln>
            </c:spPr>
            <c:showCatName val="1"/>
            <c:showPercent val="1"/>
            <c:showLeaderLines val="1"/>
          </c:dLbls>
          <c:cat>
            <c:strRef>
              <c:f>Sheet1!$A$2:$A$5</c:f>
              <c:strCache>
                <c:ptCount val="4"/>
                <c:pt idx="0">
                  <c:v>A</c:v>
                </c:pt>
                <c:pt idx="1">
                  <c:v>B</c:v>
                </c:pt>
                <c:pt idx="2">
                  <c:v>C</c:v>
                </c:pt>
                <c:pt idx="3">
                  <c:v>D</c:v>
                </c:pt>
              </c:strCache>
            </c:strRef>
          </c:cat>
          <c:val>
            <c:numRef>
              <c:f>Sheet1!$B$2:$B$5</c:f>
              <c:numCache>
                <c:formatCode>General</c:formatCode>
                <c:ptCount val="4"/>
                <c:pt idx="0">
                  <c:v>24.9</c:v>
                </c:pt>
                <c:pt idx="1">
                  <c:v>62.8</c:v>
                </c:pt>
                <c:pt idx="2">
                  <c:v>9.7000000000000011</c:v>
                </c:pt>
                <c:pt idx="3">
                  <c:v>2.6</c:v>
                </c:pt>
              </c:numCache>
            </c:numRef>
          </c:val>
        </c:ser>
      </c:pie3DChart>
      <c:spPr>
        <a:noFill/>
        <a:ln w="25387">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a:pPr>
            <a:r>
              <a:rPr lang="zh-CN" altLang="zh-CN" sz="825" b="0" i="0" u="none" strike="noStrike" baseline="0">
                <a:effectLst/>
              </a:rPr>
              <a:t>辽宁省（理科）各专业第一志愿人数比例图</a:t>
            </a:r>
            <a:endParaRPr lang="zh-CN" altLang="en-US" sz="1200" b="0"/>
          </a:p>
        </c:rich>
      </c:tx>
      <c:layout>
        <c:manualLayout>
          <c:xMode val="edge"/>
          <c:yMode val="edge"/>
          <c:x val="0.22214751033818589"/>
          <c:y val="5.4288866065654744E-2"/>
        </c:manualLayout>
      </c:layout>
    </c:title>
    <c:view3D>
      <c:rotX val="30"/>
      <c:perspective val="30"/>
    </c:view3D>
    <c:plotArea>
      <c:layout>
        <c:manualLayout>
          <c:layoutTarget val="inner"/>
          <c:xMode val="edge"/>
          <c:yMode val="edge"/>
          <c:x val="0.11634234046735349"/>
          <c:y val="0.20721493734654162"/>
          <c:w val="0.7868943694813475"/>
          <c:h val="0.69849028448056893"/>
        </c:manualLayout>
      </c:layout>
      <c:pie3DChart>
        <c:varyColors val="1"/>
        <c:ser>
          <c:idx val="0"/>
          <c:order val="0"/>
          <c:explosion val="25"/>
          <c:dLbls>
            <c:dLbl>
              <c:idx val="1"/>
              <c:layout>
                <c:manualLayout>
                  <c:x val="-9.6347112860892398E-2"/>
                  <c:y val="-0.14158523344191126"/>
                </c:manualLayout>
              </c:layout>
              <c:numFmt formatCode="0.00%" sourceLinked="0"/>
              <c:spPr/>
              <c:txPr>
                <a:bodyPr/>
                <a:lstStyle/>
                <a:p>
                  <a:pPr>
                    <a:defRPr/>
                  </a:pPr>
                  <a:endParaRPr lang="zh-CN"/>
                </a:p>
              </c:txPr>
              <c:dLblPos val="bestFit"/>
              <c:showCatName val="1"/>
              <c:showPercent val="1"/>
            </c:dLbl>
            <c:dLbl>
              <c:idx val="5"/>
              <c:layout>
                <c:manualLayout>
                  <c:x val="3.9892716535433081E-2"/>
                  <c:y val="4.8012972319828186E-2"/>
                </c:manualLayout>
              </c:layout>
              <c:numFmt formatCode="0.00%" sourceLinked="0"/>
              <c:spPr/>
              <c:txPr>
                <a:bodyPr/>
                <a:lstStyle/>
                <a:p>
                  <a:pPr>
                    <a:defRPr/>
                  </a:pPr>
                  <a:endParaRPr lang="zh-CN"/>
                </a:p>
              </c:txPr>
              <c:dLblPos val="bestFit"/>
              <c:showCatName val="1"/>
              <c:showPercent val="1"/>
            </c:dLbl>
            <c:dLbl>
              <c:idx val="8"/>
              <c:layout>
                <c:manualLayout>
                  <c:x val="3.8687117235345611E-2"/>
                  <c:y val="-8.9882901445136943E-4"/>
                </c:manualLayout>
              </c:layout>
              <c:numFmt formatCode="0.00%" sourceLinked="0"/>
              <c:spPr/>
              <c:txPr>
                <a:bodyPr/>
                <a:lstStyle/>
                <a:p>
                  <a:pPr>
                    <a:defRPr/>
                  </a:pPr>
                  <a:endParaRPr lang="zh-CN"/>
                </a:p>
              </c:txPr>
              <c:dLblPos val="bestFit"/>
              <c:showCatName val="1"/>
              <c:showPercent val="1"/>
            </c:dLbl>
            <c:numFmt formatCode="0.00%" sourceLinked="0"/>
            <c:showCatName val="1"/>
            <c:showPercent val="1"/>
          </c:dLbls>
          <c:cat>
            <c:strRef>
              <c:f>Sheet1!$G$30:$G$38</c:f>
              <c:strCache>
                <c:ptCount val="9"/>
                <c:pt idx="0">
                  <c:v>应化</c:v>
                </c:pt>
                <c:pt idx="1">
                  <c:v>机制</c:v>
                </c:pt>
                <c:pt idx="2">
                  <c:v>材控</c:v>
                </c:pt>
                <c:pt idx="3">
                  <c:v>材料</c:v>
                </c:pt>
                <c:pt idx="4">
                  <c:v>无机非</c:v>
                </c:pt>
                <c:pt idx="5">
                  <c:v>电气</c:v>
                </c:pt>
                <c:pt idx="6">
                  <c:v>自动化</c:v>
                </c:pt>
                <c:pt idx="7">
                  <c:v>化工</c:v>
                </c:pt>
                <c:pt idx="8">
                  <c:v>物流</c:v>
                </c:pt>
              </c:strCache>
            </c:strRef>
          </c:cat>
          <c:val>
            <c:numRef>
              <c:f>Sheet1!$H$30:$H$38</c:f>
              <c:numCache>
                <c:formatCode>General</c:formatCode>
                <c:ptCount val="9"/>
                <c:pt idx="0">
                  <c:v>41</c:v>
                </c:pt>
                <c:pt idx="1">
                  <c:v>231</c:v>
                </c:pt>
                <c:pt idx="2">
                  <c:v>10</c:v>
                </c:pt>
                <c:pt idx="3">
                  <c:v>14</c:v>
                </c:pt>
                <c:pt idx="4">
                  <c:v>6</c:v>
                </c:pt>
                <c:pt idx="5">
                  <c:v>181</c:v>
                </c:pt>
                <c:pt idx="6">
                  <c:v>48</c:v>
                </c:pt>
                <c:pt idx="7">
                  <c:v>22</c:v>
                </c:pt>
                <c:pt idx="8">
                  <c:v>94</c:v>
                </c:pt>
              </c:numCache>
            </c:numRef>
          </c:val>
        </c:ser>
      </c:pie3DChart>
      <c:spPr>
        <a:noFill/>
        <a:ln w="17453">
          <a:noFill/>
        </a:ln>
      </c:spPr>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a:pPr>
            <a:r>
              <a:rPr lang="zh-CN" altLang="en-US" sz="1198"/>
              <a:t>新生城镇、农村比例图</a:t>
            </a:r>
          </a:p>
        </c:rich>
      </c:tx>
      <c:spPr>
        <a:noFill/>
        <a:ln w="25359">
          <a:noFill/>
        </a:ln>
      </c:spPr>
    </c:title>
    <c:view3D>
      <c:rotX val="30"/>
      <c:perspective val="30"/>
    </c:view3D>
    <c:plotArea>
      <c:layout>
        <c:manualLayout>
          <c:layoutTarget val="inner"/>
          <c:xMode val="edge"/>
          <c:yMode val="edge"/>
          <c:x val="0.14064914992272051"/>
          <c:y val="0.19277108433734941"/>
          <c:w val="0.69860896445131371"/>
          <c:h val="0.67951807228915795"/>
        </c:manualLayout>
      </c:layout>
      <c:pie3DChart>
        <c:varyColors val="1"/>
        <c:ser>
          <c:idx val="0"/>
          <c:order val="0"/>
          <c:explosion val="25"/>
          <c:dLbls>
            <c:dLbl>
              <c:idx val="1"/>
              <c:layout>
                <c:manualLayout>
                  <c:x val="-0.18152800209046613"/>
                  <c:y val="2.3959962604303796E-2"/>
                </c:manualLayout>
              </c:layout>
              <c:numFmt formatCode="0.00%" sourceLinked="0"/>
              <c:spPr>
                <a:noFill/>
                <a:ln w="25359">
                  <a:noFill/>
                </a:ln>
              </c:spPr>
              <c:txPr>
                <a:bodyPr/>
                <a:lstStyle/>
                <a:p>
                  <a:pPr>
                    <a:defRPr/>
                  </a:pPr>
                  <a:endParaRPr lang="zh-CN"/>
                </a:p>
              </c:txPr>
              <c:dLblPos val="bestFit"/>
              <c:showCatName val="1"/>
              <c:showPercent val="1"/>
            </c:dLbl>
            <c:dLbl>
              <c:idx val="2"/>
              <c:layout>
                <c:manualLayout>
                  <c:x val="-6.8969961108589273E-2"/>
                  <c:y val="-0.16260613918331404"/>
                </c:manualLayout>
              </c:layout>
              <c:numFmt formatCode="0.00%" sourceLinked="0"/>
              <c:spPr>
                <a:noFill/>
                <a:ln w="25359">
                  <a:noFill/>
                </a:ln>
              </c:spPr>
              <c:txPr>
                <a:bodyPr/>
                <a:lstStyle/>
                <a:p>
                  <a:pPr>
                    <a:defRPr/>
                  </a:pPr>
                  <a:endParaRPr lang="zh-CN"/>
                </a:p>
              </c:txPr>
              <c:dLblPos val="bestFit"/>
              <c:showCatName val="1"/>
              <c:showPercent val="1"/>
            </c:dLbl>
            <c:dLbl>
              <c:idx val="3"/>
              <c:layout>
                <c:manualLayout>
                  <c:x val="0.18675504363269796"/>
                  <c:y val="2.2321873806552671E-2"/>
                </c:manualLayout>
              </c:layout>
              <c:numFmt formatCode="0.00%" sourceLinked="0"/>
              <c:spPr>
                <a:noFill/>
                <a:ln w="25359">
                  <a:noFill/>
                </a:ln>
              </c:spPr>
              <c:txPr>
                <a:bodyPr/>
                <a:lstStyle/>
                <a:p>
                  <a:pPr>
                    <a:defRPr/>
                  </a:pPr>
                  <a:endParaRPr lang="zh-CN"/>
                </a:p>
              </c:txPr>
              <c:dLblPos val="bestFit"/>
              <c:showCatName val="1"/>
              <c:showPercent val="1"/>
            </c:dLbl>
            <c:dLbl>
              <c:idx val="4"/>
              <c:layout>
                <c:manualLayout>
                  <c:x val="-8.4595751878524666E-2"/>
                  <c:y val="-4.0859084521924861E-2"/>
                </c:manualLayout>
              </c:layout>
              <c:numFmt formatCode="0.00%" sourceLinked="0"/>
              <c:spPr>
                <a:noFill/>
                <a:ln w="25359">
                  <a:noFill/>
                </a:ln>
              </c:spPr>
              <c:txPr>
                <a:bodyPr/>
                <a:lstStyle/>
                <a:p>
                  <a:pPr>
                    <a:defRPr/>
                  </a:pPr>
                  <a:endParaRPr lang="zh-CN"/>
                </a:p>
              </c:txPr>
              <c:dLblPos val="bestFit"/>
              <c:showCatName val="1"/>
              <c:showPercent val="1"/>
            </c:dLbl>
            <c:numFmt formatCode="0.00%" sourceLinked="0"/>
            <c:spPr>
              <a:noFill/>
              <a:ln w="25359">
                <a:noFill/>
              </a:ln>
            </c:spPr>
            <c:showCatName val="1"/>
            <c:showPercent val="1"/>
            <c:showLeaderLines val="1"/>
          </c:dLbls>
          <c:cat>
            <c:strRef>
              <c:f>Sheet4!$A$107:$A$111</c:f>
              <c:strCache>
                <c:ptCount val="5"/>
                <c:pt idx="0">
                  <c:v>城镇往届</c:v>
                </c:pt>
                <c:pt idx="1">
                  <c:v>城镇应届</c:v>
                </c:pt>
                <c:pt idx="2">
                  <c:v>农村往届</c:v>
                </c:pt>
                <c:pt idx="3">
                  <c:v>农村应届</c:v>
                </c:pt>
                <c:pt idx="4">
                  <c:v>农转城应</c:v>
                </c:pt>
              </c:strCache>
            </c:strRef>
          </c:cat>
          <c:val>
            <c:numRef>
              <c:f>Sheet4!$B$107:$B$111</c:f>
              <c:numCache>
                <c:formatCode>General</c:formatCode>
                <c:ptCount val="5"/>
                <c:pt idx="0">
                  <c:v>42</c:v>
                </c:pt>
                <c:pt idx="1">
                  <c:v>389</c:v>
                </c:pt>
                <c:pt idx="2">
                  <c:v>108</c:v>
                </c:pt>
                <c:pt idx="3">
                  <c:v>482</c:v>
                </c:pt>
                <c:pt idx="4">
                  <c:v>1</c:v>
                </c:pt>
              </c:numCache>
            </c:numRef>
          </c:val>
        </c:ser>
      </c:pie3DChart>
      <c:spPr>
        <a:noFill/>
        <a:ln w="25359">
          <a:noFill/>
        </a:ln>
      </c:spPr>
    </c:plotArea>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044"/>
            </a:pPr>
            <a:r>
              <a:rPr lang="en-US" altLang="zh-CN" sz="1044" b="0">
                <a:latin typeface="仿宋_GB2312" panose="02010609030101010101" pitchFamily="49" charset="-122"/>
                <a:ea typeface="仿宋_GB2312" panose="02010609030101010101" pitchFamily="49" charset="-122"/>
              </a:rPr>
              <a:t>2013-2015</a:t>
            </a:r>
            <a:r>
              <a:rPr lang="zh-CN" altLang="en-US" sz="1044" b="0">
                <a:latin typeface="仿宋_GB2312" panose="02010609030101010101" pitchFamily="49" charset="-122"/>
                <a:ea typeface="仿宋_GB2312" panose="02010609030101010101" pitchFamily="49" charset="-122"/>
              </a:rPr>
              <a:t>年辽宁省（文科）各分段考生比例图</a:t>
            </a:r>
            <a:endParaRPr lang="zh-CN" sz="1200" b="0">
              <a:latin typeface="仿宋_GB2312" panose="02010609030101010101" pitchFamily="49" charset="-122"/>
              <a:ea typeface="仿宋_GB2312" panose="02010609030101010101" pitchFamily="49" charset="-122"/>
            </a:endParaRPr>
          </a:p>
        </c:rich>
      </c:tx>
    </c:title>
    <c:plotArea>
      <c:layout/>
      <c:barChart>
        <c:barDir val="col"/>
        <c:grouping val="clustered"/>
        <c:ser>
          <c:idx val="0"/>
          <c:order val="0"/>
          <c:tx>
            <c:strRef>
              <c:f>Sheet1!$B$1</c:f>
              <c:strCache>
                <c:ptCount val="1"/>
                <c:pt idx="0">
                  <c:v>A </c:v>
                </c:pt>
              </c:strCache>
            </c:strRef>
          </c:tx>
          <c:cat>
            <c:strRef>
              <c:f>Sheet1!$A$2:$A$4</c:f>
              <c:strCache>
                <c:ptCount val="3"/>
                <c:pt idx="0">
                  <c:v>2013年</c:v>
                </c:pt>
                <c:pt idx="1">
                  <c:v>2014年</c:v>
                </c:pt>
                <c:pt idx="2">
                  <c:v>2015年</c:v>
                </c:pt>
              </c:strCache>
            </c:strRef>
          </c:cat>
          <c:val>
            <c:numRef>
              <c:f>Sheet1!$B$2:$B$4</c:f>
              <c:numCache>
                <c:formatCode>General</c:formatCode>
                <c:ptCount val="3"/>
                <c:pt idx="0">
                  <c:v>63.04</c:v>
                </c:pt>
                <c:pt idx="1">
                  <c:v>48.4</c:v>
                </c:pt>
                <c:pt idx="2">
                  <c:v>0</c:v>
                </c:pt>
              </c:numCache>
            </c:numRef>
          </c:val>
        </c:ser>
        <c:ser>
          <c:idx val="1"/>
          <c:order val="1"/>
          <c:tx>
            <c:strRef>
              <c:f>Sheet1!$C$1</c:f>
              <c:strCache>
                <c:ptCount val="1"/>
                <c:pt idx="0">
                  <c:v>B</c:v>
                </c:pt>
              </c:strCache>
            </c:strRef>
          </c:tx>
          <c:cat>
            <c:strRef>
              <c:f>Sheet1!$A$2:$A$4</c:f>
              <c:strCache>
                <c:ptCount val="3"/>
                <c:pt idx="0">
                  <c:v>2013年</c:v>
                </c:pt>
                <c:pt idx="1">
                  <c:v>2014年</c:v>
                </c:pt>
                <c:pt idx="2">
                  <c:v>2015年</c:v>
                </c:pt>
              </c:strCache>
            </c:strRef>
          </c:cat>
          <c:val>
            <c:numRef>
              <c:f>Sheet1!$C$2:$C$4</c:f>
              <c:numCache>
                <c:formatCode>General</c:formatCode>
                <c:ptCount val="3"/>
                <c:pt idx="0">
                  <c:v>15.22</c:v>
                </c:pt>
                <c:pt idx="1">
                  <c:v>45.2</c:v>
                </c:pt>
                <c:pt idx="2">
                  <c:v>62.5</c:v>
                </c:pt>
              </c:numCache>
            </c:numRef>
          </c:val>
        </c:ser>
        <c:ser>
          <c:idx val="2"/>
          <c:order val="2"/>
          <c:tx>
            <c:strRef>
              <c:f>Sheet1!$D$1</c:f>
              <c:strCache>
                <c:ptCount val="1"/>
                <c:pt idx="0">
                  <c:v>C</c:v>
                </c:pt>
              </c:strCache>
            </c:strRef>
          </c:tx>
          <c:cat>
            <c:strRef>
              <c:f>Sheet1!$A$2:$A$4</c:f>
              <c:strCache>
                <c:ptCount val="3"/>
                <c:pt idx="0">
                  <c:v>2013年</c:v>
                </c:pt>
                <c:pt idx="1">
                  <c:v>2014年</c:v>
                </c:pt>
                <c:pt idx="2">
                  <c:v>2015年</c:v>
                </c:pt>
              </c:strCache>
            </c:strRef>
          </c:cat>
          <c:val>
            <c:numRef>
              <c:f>Sheet1!$D$2:$D$4</c:f>
              <c:numCache>
                <c:formatCode>General</c:formatCode>
                <c:ptCount val="3"/>
                <c:pt idx="0">
                  <c:v>10.870000000000006</c:v>
                </c:pt>
                <c:pt idx="1">
                  <c:v>6.4</c:v>
                </c:pt>
                <c:pt idx="2">
                  <c:v>35</c:v>
                </c:pt>
              </c:numCache>
            </c:numRef>
          </c:val>
        </c:ser>
        <c:ser>
          <c:idx val="3"/>
          <c:order val="3"/>
          <c:tx>
            <c:strRef>
              <c:f>Sheet1!$E$1</c:f>
              <c:strCache>
                <c:ptCount val="1"/>
                <c:pt idx="0">
                  <c:v>D</c:v>
                </c:pt>
              </c:strCache>
            </c:strRef>
          </c:tx>
          <c:cat>
            <c:strRef>
              <c:f>Sheet1!$A$2:$A$4</c:f>
              <c:strCache>
                <c:ptCount val="3"/>
                <c:pt idx="0">
                  <c:v>2013年</c:v>
                </c:pt>
                <c:pt idx="1">
                  <c:v>2014年</c:v>
                </c:pt>
                <c:pt idx="2">
                  <c:v>2015年</c:v>
                </c:pt>
              </c:strCache>
            </c:strRef>
          </c:cat>
          <c:val>
            <c:numRef>
              <c:f>Sheet1!$E$2:$E$4</c:f>
              <c:numCache>
                <c:formatCode>General</c:formatCode>
                <c:ptCount val="3"/>
                <c:pt idx="0">
                  <c:v>0</c:v>
                </c:pt>
                <c:pt idx="1">
                  <c:v>0</c:v>
                </c:pt>
                <c:pt idx="2">
                  <c:v>2.5</c:v>
                </c:pt>
              </c:numCache>
            </c:numRef>
          </c:val>
        </c:ser>
        <c:axId val="158243456"/>
        <c:axId val="158249344"/>
      </c:barChart>
      <c:catAx>
        <c:axId val="158243456"/>
        <c:scaling>
          <c:orientation val="minMax"/>
        </c:scaling>
        <c:axPos val="b"/>
        <c:numFmt formatCode="General" sourceLinked="1"/>
        <c:majorTickMark val="none"/>
        <c:tickLblPos val="nextTo"/>
        <c:crossAx val="158249344"/>
        <c:crosses val="autoZero"/>
        <c:auto val="1"/>
        <c:lblAlgn val="ctr"/>
        <c:lblOffset val="100"/>
      </c:catAx>
      <c:valAx>
        <c:axId val="158249344"/>
        <c:scaling>
          <c:orientation val="minMax"/>
        </c:scaling>
        <c:axPos val="l"/>
        <c:majorGridlines/>
        <c:numFmt formatCode="General" sourceLinked="1"/>
        <c:majorTickMark val="none"/>
        <c:tickLblPos val="nextTo"/>
        <c:crossAx val="158243456"/>
        <c:crosses val="autoZero"/>
        <c:crossBetween val="between"/>
      </c:valAx>
    </c:plotArea>
    <c:legend>
      <c:legendPos val="r"/>
      <c:layout>
        <c:manualLayout>
          <c:xMode val="edge"/>
          <c:yMode val="edge"/>
          <c:x val="0.92279411764705965"/>
          <c:y val="0.39259259259259288"/>
          <c:w val="6.0661764705882353E-2"/>
          <c:h val="0.30370370370370381"/>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a:pPr>
            <a:r>
              <a:rPr lang="en-US" sz="1050" b="0" i="0" u="none" strike="noStrike" baseline="0">
                <a:latin typeface="仿宋_GB2312" panose="02010609030101010101" pitchFamily="49" charset="-122"/>
                <a:ea typeface="仿宋_GB2312" panose="02010609030101010101" pitchFamily="49" charset="-122"/>
              </a:rPr>
              <a:t>2013-2015</a:t>
            </a:r>
            <a:r>
              <a:rPr lang="zh-CN" altLang="en-US" sz="1050" b="0" i="0" u="none" strike="noStrike" baseline="0">
                <a:latin typeface="仿宋_GB2312" panose="02010609030101010101" pitchFamily="49" charset="-122"/>
                <a:ea typeface="仿宋_GB2312" panose="02010609030101010101" pitchFamily="49" charset="-122"/>
              </a:rPr>
              <a:t>年辽宁省（理科）各分段考生比例图</a:t>
            </a:r>
            <a:endParaRPr lang="zh-CN" altLang="en-US" sz="1050" b="0">
              <a:latin typeface="仿宋_GB2312" panose="02010609030101010101" pitchFamily="49" charset="-122"/>
              <a:ea typeface="仿宋_GB2312" panose="02010609030101010101" pitchFamily="49" charset="-122"/>
            </a:endParaRPr>
          </a:p>
        </c:rich>
      </c:tx>
    </c:title>
    <c:plotArea>
      <c:layout/>
      <c:barChart>
        <c:barDir val="col"/>
        <c:grouping val="clustered"/>
        <c:ser>
          <c:idx val="0"/>
          <c:order val="0"/>
          <c:tx>
            <c:strRef>
              <c:f>Sheet1!$B$1</c:f>
              <c:strCache>
                <c:ptCount val="1"/>
                <c:pt idx="0">
                  <c:v>A</c:v>
                </c:pt>
              </c:strCache>
            </c:strRef>
          </c:tx>
          <c:cat>
            <c:strRef>
              <c:f>Sheet1!$A$2:$A$4</c:f>
              <c:strCache>
                <c:ptCount val="3"/>
                <c:pt idx="0">
                  <c:v>2013年</c:v>
                </c:pt>
                <c:pt idx="1">
                  <c:v>2014年</c:v>
                </c:pt>
                <c:pt idx="2">
                  <c:v>2015年</c:v>
                </c:pt>
              </c:strCache>
            </c:strRef>
          </c:cat>
          <c:val>
            <c:numRef>
              <c:f>Sheet1!$B$2:$B$4</c:f>
              <c:numCache>
                <c:formatCode>General</c:formatCode>
                <c:ptCount val="3"/>
                <c:pt idx="0">
                  <c:v>40.18</c:v>
                </c:pt>
                <c:pt idx="1">
                  <c:v>57.3</c:v>
                </c:pt>
                <c:pt idx="2">
                  <c:v>25</c:v>
                </c:pt>
              </c:numCache>
            </c:numRef>
          </c:val>
        </c:ser>
        <c:ser>
          <c:idx val="1"/>
          <c:order val="1"/>
          <c:tx>
            <c:strRef>
              <c:f>Sheet1!$C$1</c:f>
              <c:strCache>
                <c:ptCount val="1"/>
                <c:pt idx="0">
                  <c:v>B</c:v>
                </c:pt>
              </c:strCache>
            </c:strRef>
          </c:tx>
          <c:cat>
            <c:strRef>
              <c:f>Sheet1!$A$2:$A$4</c:f>
              <c:strCache>
                <c:ptCount val="3"/>
                <c:pt idx="0">
                  <c:v>2013年</c:v>
                </c:pt>
                <c:pt idx="1">
                  <c:v>2014年</c:v>
                </c:pt>
                <c:pt idx="2">
                  <c:v>2015年</c:v>
                </c:pt>
              </c:strCache>
            </c:strRef>
          </c:cat>
          <c:val>
            <c:numRef>
              <c:f>Sheet1!$C$2:$C$4</c:f>
              <c:numCache>
                <c:formatCode>General</c:formatCode>
                <c:ptCount val="3"/>
                <c:pt idx="0">
                  <c:v>35.160000000000011</c:v>
                </c:pt>
                <c:pt idx="1">
                  <c:v>34</c:v>
                </c:pt>
                <c:pt idx="2">
                  <c:v>63</c:v>
                </c:pt>
              </c:numCache>
            </c:numRef>
          </c:val>
        </c:ser>
        <c:ser>
          <c:idx val="2"/>
          <c:order val="2"/>
          <c:tx>
            <c:strRef>
              <c:f>Sheet1!$D$1</c:f>
              <c:strCache>
                <c:ptCount val="1"/>
                <c:pt idx="0">
                  <c:v>C</c:v>
                </c:pt>
              </c:strCache>
            </c:strRef>
          </c:tx>
          <c:cat>
            <c:strRef>
              <c:f>Sheet1!$A$2:$A$4</c:f>
              <c:strCache>
                <c:ptCount val="3"/>
                <c:pt idx="0">
                  <c:v>2013年</c:v>
                </c:pt>
                <c:pt idx="1">
                  <c:v>2014年</c:v>
                </c:pt>
                <c:pt idx="2">
                  <c:v>2015年</c:v>
                </c:pt>
              </c:strCache>
            </c:strRef>
          </c:cat>
          <c:val>
            <c:numRef>
              <c:f>Sheet1!$D$2:$D$4</c:f>
              <c:numCache>
                <c:formatCode>General</c:formatCode>
                <c:ptCount val="3"/>
                <c:pt idx="0">
                  <c:v>13.7</c:v>
                </c:pt>
                <c:pt idx="1">
                  <c:v>8.1</c:v>
                </c:pt>
                <c:pt idx="2">
                  <c:v>10</c:v>
                </c:pt>
              </c:numCache>
            </c:numRef>
          </c:val>
        </c:ser>
        <c:ser>
          <c:idx val="3"/>
          <c:order val="3"/>
          <c:tx>
            <c:strRef>
              <c:f>Sheet1!$E$1</c:f>
              <c:strCache>
                <c:ptCount val="1"/>
                <c:pt idx="0">
                  <c:v>D</c:v>
                </c:pt>
              </c:strCache>
            </c:strRef>
          </c:tx>
          <c:cat>
            <c:strRef>
              <c:f>Sheet1!$A$2:$A$4</c:f>
              <c:strCache>
                <c:ptCount val="3"/>
                <c:pt idx="0">
                  <c:v>2013年</c:v>
                </c:pt>
                <c:pt idx="1">
                  <c:v>2014年</c:v>
                </c:pt>
                <c:pt idx="2">
                  <c:v>2015年</c:v>
                </c:pt>
              </c:strCache>
            </c:strRef>
          </c:cat>
          <c:val>
            <c:numRef>
              <c:f>Sheet1!$E$2:$E$4</c:f>
              <c:numCache>
                <c:formatCode>General</c:formatCode>
                <c:ptCount val="3"/>
                <c:pt idx="0">
                  <c:v>10.96</c:v>
                </c:pt>
                <c:pt idx="1">
                  <c:v>0.60000000000000064</c:v>
                </c:pt>
                <c:pt idx="2">
                  <c:v>2</c:v>
                </c:pt>
              </c:numCache>
            </c:numRef>
          </c:val>
        </c:ser>
        <c:axId val="133871872"/>
        <c:axId val="134668288"/>
      </c:barChart>
      <c:catAx>
        <c:axId val="133871872"/>
        <c:scaling>
          <c:orientation val="minMax"/>
        </c:scaling>
        <c:axPos val="b"/>
        <c:numFmt formatCode="General" sourceLinked="1"/>
        <c:majorTickMark val="none"/>
        <c:tickLblPos val="nextTo"/>
        <c:crossAx val="134668288"/>
        <c:crosses val="autoZero"/>
        <c:auto val="1"/>
        <c:lblAlgn val="ctr"/>
        <c:lblOffset val="100"/>
      </c:catAx>
      <c:valAx>
        <c:axId val="134668288"/>
        <c:scaling>
          <c:orientation val="minMax"/>
        </c:scaling>
        <c:axPos val="l"/>
        <c:majorGridlines/>
        <c:numFmt formatCode="General" sourceLinked="1"/>
        <c:majorTickMark val="none"/>
        <c:tickLblPos val="nextTo"/>
        <c:crossAx val="133871872"/>
        <c:crosses val="autoZero"/>
        <c:crossBetween val="between"/>
      </c:valAx>
    </c:plotArea>
    <c:legend>
      <c:legendPos val="r"/>
      <c:layout>
        <c:manualLayout>
          <c:xMode val="edge"/>
          <c:yMode val="edge"/>
          <c:x val="0.92844036697247712"/>
          <c:y val="0.39365079365079436"/>
          <c:w val="5.6880733944954132E-2"/>
          <c:h val="0.30476190476190484"/>
        </c:manualLayout>
      </c:layout>
    </c:legend>
    <c:plotVisOnly val="1"/>
    <c:dispBlanksAs val="gap"/>
  </c:chart>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13039-3839-4955-8CAF-A27DB3C9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69</Pages>
  <Words>6007</Words>
  <Characters>34241</Characters>
  <Application>Microsoft Office Word</Application>
  <DocSecurity>0</DocSecurity>
  <Lines>285</Lines>
  <Paragraphs>80</Paragraphs>
  <ScaleCrop>false</ScaleCrop>
  <Company/>
  <LinksUpToDate>false</LinksUpToDate>
  <CharactersWithSpaces>40168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63</cp:revision>
  <dcterms:created xsi:type="dcterms:W3CDTF">2016-04-11T02:25:00Z</dcterms:created>
  <dcterms:modified xsi:type="dcterms:W3CDTF">2016-07-14T09:42:00Z</dcterms:modified>
</cp:coreProperties>
</file>